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EA17E" w14:textId="419F066D" w:rsidR="0089285D" w:rsidRDefault="0089285D" w:rsidP="006D44CF">
      <w:pPr>
        <w:pStyle w:val="Heading4"/>
      </w:pPr>
      <w:bookmarkStart w:id="0" w:name="fs_kNqQPG8zsUqzBLgQPGRTDg"/>
      <w:bookmarkStart w:id="1" w:name="fs_hnU5E4KDEiXnX8qXnhbHQ"/>
      <w:proofErr w:type="gramStart"/>
      <w:r w:rsidRPr="0089285D">
        <w:t>Chapter 5.</w:t>
      </w:r>
      <w:proofErr w:type="gramEnd"/>
      <w:r w:rsidRPr="0089285D">
        <w:t xml:space="preserve"> </w:t>
      </w:r>
      <w:r w:rsidR="00FD52DD">
        <w:t xml:space="preserve"> </w:t>
      </w:r>
      <w:r w:rsidRPr="0089285D">
        <w:t>Monitoring Unit</w:t>
      </w:r>
    </w:p>
    <w:bookmarkEnd w:id="0"/>
    <w:p w14:paraId="516C478D" w14:textId="7E1226C9" w:rsidR="00B8507F" w:rsidRDefault="00977A78" w:rsidP="006D44CF">
      <w:pPr>
        <w:spacing w:after="240"/>
      </w:pPr>
      <w:r w:rsidRPr="00F812E6">
        <w:rPr>
          <w:rFonts w:ascii="Arial" w:hAnsi="Arial" w:cs="Arial"/>
          <w:b/>
          <w:sz w:val="32"/>
        </w:rPr>
        <w:t>Overview</w:t>
      </w:r>
    </w:p>
    <w:p w14:paraId="674E0EFA" w14:textId="77777777" w:rsidR="006F0CAC" w:rsidRDefault="006F0CAC" w:rsidP="006F0CAC">
      <w:pPr>
        <w:pStyle w:val="BlockLine"/>
      </w:pPr>
    </w:p>
    <w:tbl>
      <w:tblPr>
        <w:tblW w:w="9500" w:type="dxa"/>
        <w:tblLayout w:type="fixed"/>
        <w:tblLook w:val="0000" w:firstRow="0" w:lastRow="0" w:firstColumn="0" w:lastColumn="0" w:noHBand="0" w:noVBand="0"/>
      </w:tblPr>
      <w:tblGrid>
        <w:gridCol w:w="1728"/>
        <w:gridCol w:w="7772"/>
      </w:tblGrid>
      <w:tr w:rsidR="0089285D" w:rsidRPr="0089285D" w14:paraId="3E1EA19C" w14:textId="77777777" w:rsidTr="00B8507F">
        <w:trPr>
          <w:trHeight w:val="2682"/>
        </w:trPr>
        <w:tc>
          <w:tcPr>
            <w:tcW w:w="1728" w:type="dxa"/>
            <w:shd w:val="clear" w:color="auto" w:fill="auto"/>
          </w:tcPr>
          <w:p w14:paraId="3E1EA180" w14:textId="77777777" w:rsidR="0089285D" w:rsidRPr="0089285D" w:rsidRDefault="0089285D" w:rsidP="0089285D">
            <w:pPr>
              <w:pStyle w:val="Heading5"/>
              <w:jc w:val="center"/>
            </w:pPr>
            <w:bookmarkStart w:id="2" w:name="fs_LiDV6nB1zkCXG755mjFQ" w:colFirst="0" w:colLast="0"/>
            <w:bookmarkEnd w:id="1"/>
            <w:r w:rsidRPr="0089285D">
              <w:t>In this Chapter</w:t>
            </w:r>
          </w:p>
        </w:tc>
        <w:tc>
          <w:tcPr>
            <w:tcW w:w="7772" w:type="dxa"/>
            <w:shd w:val="clear" w:color="auto" w:fill="auto"/>
          </w:tcPr>
          <w:p w14:paraId="3E1EA181" w14:textId="77777777" w:rsidR="0089285D" w:rsidRPr="0089285D" w:rsidRDefault="0089285D" w:rsidP="002172E1">
            <w:pPr>
              <w:pStyle w:val="BlockText"/>
            </w:pPr>
            <w:r w:rsidRPr="0089285D">
              <w:t>This chapter contains the following topics.</w:t>
            </w:r>
          </w:p>
          <w:p w14:paraId="3E1EA182" w14:textId="77777777" w:rsidR="0089285D" w:rsidRPr="0089285D" w:rsidRDefault="0089285D" w:rsidP="002172E1">
            <w:pPr>
              <w:pStyle w:val="BlockText"/>
            </w:pPr>
          </w:p>
          <w:tbl>
            <w:tblPr>
              <w:tblW w:w="5000" w:type="pct"/>
              <w:tblLayout w:type="fixed"/>
              <w:tblLook w:val="0000" w:firstRow="0" w:lastRow="0" w:firstColumn="0" w:lastColumn="0" w:noHBand="0" w:noVBand="0"/>
            </w:tblPr>
            <w:tblGrid>
              <w:gridCol w:w="967"/>
              <w:gridCol w:w="5670"/>
              <w:gridCol w:w="909"/>
            </w:tblGrid>
            <w:tr w:rsidR="0089285D" w:rsidRPr="0089285D" w14:paraId="3E1EA186" w14:textId="77777777" w:rsidTr="0089285D">
              <w:tc>
                <w:tcPr>
                  <w:tcW w:w="641" w:type="pct"/>
                  <w:tcBorders>
                    <w:top w:val="single" w:sz="4" w:space="0" w:color="auto"/>
                    <w:left w:val="single" w:sz="4" w:space="0" w:color="auto"/>
                    <w:bottom w:val="single" w:sz="4" w:space="0" w:color="auto"/>
                    <w:right w:val="single" w:sz="4" w:space="0" w:color="auto"/>
                  </w:tcBorders>
                  <w:shd w:val="clear" w:color="auto" w:fill="auto"/>
                </w:tcPr>
                <w:p w14:paraId="3E1EA183" w14:textId="77777777" w:rsidR="0089285D" w:rsidRPr="0089285D" w:rsidRDefault="0089285D" w:rsidP="0089285D">
                  <w:pPr>
                    <w:jc w:val="center"/>
                    <w:rPr>
                      <w:b/>
                    </w:rPr>
                  </w:pPr>
                  <w:bookmarkStart w:id="3" w:name="fs_L0l5TX0uBUKziobXzEsPfw_0_9_0" w:colFirst="0" w:colLast="0"/>
                  <w:r w:rsidRPr="0089285D">
                    <w:rPr>
                      <w:b/>
                    </w:rPr>
                    <w:t>Topic</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E1EA184" w14:textId="77777777" w:rsidR="0089285D" w:rsidRPr="0089285D" w:rsidRDefault="0089285D" w:rsidP="0089285D">
                  <w:pPr>
                    <w:jc w:val="center"/>
                    <w:rPr>
                      <w:b/>
                    </w:rPr>
                  </w:pPr>
                  <w:r w:rsidRPr="0089285D">
                    <w:rPr>
                      <w:b/>
                    </w:rPr>
                    <w:t>Topic name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E1EA185" w14:textId="77777777" w:rsidR="0089285D" w:rsidRPr="0089285D" w:rsidRDefault="0089285D" w:rsidP="0089285D">
                  <w:pPr>
                    <w:jc w:val="center"/>
                    <w:rPr>
                      <w:b/>
                    </w:rPr>
                  </w:pPr>
                  <w:r w:rsidRPr="0089285D">
                    <w:rPr>
                      <w:b/>
                    </w:rPr>
                    <w:t>See Page</w:t>
                  </w:r>
                </w:p>
              </w:tc>
            </w:tr>
            <w:bookmarkEnd w:id="3"/>
            <w:tr w:rsidR="0089285D" w:rsidRPr="0089285D" w14:paraId="3E1EA18A" w14:textId="77777777" w:rsidTr="0089285D">
              <w:tc>
                <w:tcPr>
                  <w:tcW w:w="641" w:type="pct"/>
                  <w:tcBorders>
                    <w:top w:val="single" w:sz="4" w:space="0" w:color="auto"/>
                    <w:left w:val="single" w:sz="4" w:space="0" w:color="auto"/>
                    <w:bottom w:val="single" w:sz="4" w:space="0" w:color="auto"/>
                    <w:right w:val="single" w:sz="4" w:space="0" w:color="auto"/>
                  </w:tcBorders>
                  <w:shd w:val="clear" w:color="auto" w:fill="auto"/>
                </w:tcPr>
                <w:p w14:paraId="3E1EA187" w14:textId="77777777" w:rsidR="0089285D" w:rsidRPr="0089285D" w:rsidRDefault="0089285D" w:rsidP="0089285D">
                  <w:pPr>
                    <w:jc w:val="center"/>
                  </w:pPr>
                  <w:r w:rsidRPr="0089285D">
                    <w:t>1</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E1EA188" w14:textId="07E8676B" w:rsidR="0089285D" w:rsidRPr="0089285D" w:rsidRDefault="00F812E6" w:rsidP="006F55CE">
                  <w:r>
                    <w:t xml:space="preserve">General Information </w:t>
                  </w:r>
                  <w:r w:rsidR="006E627C">
                    <w:t>o</w:t>
                  </w:r>
                  <w:r w:rsidR="006F55CE">
                    <w:t>n</w:t>
                  </w:r>
                  <w:r>
                    <w:t xml:space="preserve"> Lender and Servicer Audits</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E1EA189" w14:textId="77777777" w:rsidR="0089285D" w:rsidRPr="0089285D" w:rsidRDefault="0089285D" w:rsidP="0089285D">
                  <w:pPr>
                    <w:jc w:val="center"/>
                  </w:pPr>
                  <w:r w:rsidRPr="0089285D">
                    <w:t>5-2</w:t>
                  </w:r>
                </w:p>
              </w:tc>
            </w:tr>
            <w:tr w:rsidR="0089285D" w:rsidRPr="0089285D" w14:paraId="3E1EA18E" w14:textId="77777777" w:rsidTr="0089285D">
              <w:tc>
                <w:tcPr>
                  <w:tcW w:w="641" w:type="pct"/>
                  <w:tcBorders>
                    <w:top w:val="single" w:sz="4" w:space="0" w:color="auto"/>
                    <w:left w:val="single" w:sz="4" w:space="0" w:color="auto"/>
                    <w:bottom w:val="single" w:sz="4" w:space="0" w:color="auto"/>
                    <w:right w:val="single" w:sz="4" w:space="0" w:color="auto"/>
                  </w:tcBorders>
                  <w:shd w:val="clear" w:color="auto" w:fill="auto"/>
                </w:tcPr>
                <w:p w14:paraId="3E1EA18B" w14:textId="77777777" w:rsidR="0089285D" w:rsidRPr="0089285D" w:rsidRDefault="0089285D" w:rsidP="0089285D">
                  <w:pPr>
                    <w:jc w:val="center"/>
                  </w:pPr>
                  <w:r w:rsidRPr="0089285D">
                    <w:t>2</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E1EA18C" w14:textId="17BF5157" w:rsidR="0089285D" w:rsidRPr="0089285D" w:rsidRDefault="003E072E" w:rsidP="002172E1">
                  <w:r>
                    <w:t>Objective</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E1EA18D" w14:textId="21A028BC" w:rsidR="0089285D" w:rsidRPr="0089285D" w:rsidRDefault="0089285D" w:rsidP="0089285D">
                  <w:pPr>
                    <w:jc w:val="center"/>
                  </w:pPr>
                  <w:r w:rsidRPr="0089285D">
                    <w:t>5-</w:t>
                  </w:r>
                  <w:r w:rsidR="003E072E">
                    <w:t>3</w:t>
                  </w:r>
                </w:p>
              </w:tc>
            </w:tr>
            <w:tr w:rsidR="0089285D" w:rsidRPr="0089285D" w14:paraId="3E1EA192" w14:textId="77777777" w:rsidTr="0089285D">
              <w:tc>
                <w:tcPr>
                  <w:tcW w:w="641" w:type="pct"/>
                  <w:tcBorders>
                    <w:top w:val="single" w:sz="4" w:space="0" w:color="auto"/>
                    <w:left w:val="single" w:sz="4" w:space="0" w:color="auto"/>
                    <w:bottom w:val="single" w:sz="4" w:space="0" w:color="auto"/>
                    <w:right w:val="single" w:sz="4" w:space="0" w:color="auto"/>
                  </w:tcBorders>
                  <w:shd w:val="clear" w:color="auto" w:fill="auto"/>
                </w:tcPr>
                <w:p w14:paraId="3E1EA18F" w14:textId="77777777" w:rsidR="0089285D" w:rsidRPr="0089285D" w:rsidRDefault="0089285D" w:rsidP="0089285D">
                  <w:pPr>
                    <w:jc w:val="center"/>
                  </w:pPr>
                  <w:r w:rsidRPr="0089285D">
                    <w:t>3</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E1EA190" w14:textId="77777777" w:rsidR="0089285D" w:rsidRPr="0089285D" w:rsidRDefault="0089285D" w:rsidP="002172E1">
                  <w:r w:rsidRPr="0089285D">
                    <w:t>Sampling</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E1EA191" w14:textId="18477BA2" w:rsidR="0089285D" w:rsidRPr="0089285D" w:rsidRDefault="0089285D" w:rsidP="0089285D">
                  <w:pPr>
                    <w:jc w:val="center"/>
                  </w:pPr>
                  <w:r w:rsidRPr="0089285D">
                    <w:t>5-</w:t>
                  </w:r>
                  <w:r w:rsidR="003E072E">
                    <w:t>4</w:t>
                  </w:r>
                </w:p>
              </w:tc>
            </w:tr>
            <w:tr w:rsidR="0089285D" w:rsidRPr="0089285D" w14:paraId="3E1EA196" w14:textId="77777777" w:rsidTr="0089285D">
              <w:tc>
                <w:tcPr>
                  <w:tcW w:w="641" w:type="pct"/>
                  <w:tcBorders>
                    <w:top w:val="single" w:sz="4" w:space="0" w:color="auto"/>
                    <w:left w:val="single" w:sz="4" w:space="0" w:color="auto"/>
                    <w:bottom w:val="single" w:sz="4" w:space="0" w:color="auto"/>
                    <w:right w:val="single" w:sz="4" w:space="0" w:color="auto"/>
                  </w:tcBorders>
                  <w:shd w:val="clear" w:color="auto" w:fill="auto"/>
                </w:tcPr>
                <w:p w14:paraId="3E1EA193" w14:textId="77777777" w:rsidR="0089285D" w:rsidRPr="0089285D" w:rsidRDefault="0089285D" w:rsidP="0089285D">
                  <w:pPr>
                    <w:jc w:val="center"/>
                  </w:pPr>
                  <w:r w:rsidRPr="0089285D">
                    <w:t>4</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E1EA194" w14:textId="77777777" w:rsidR="0089285D" w:rsidRPr="0089285D" w:rsidRDefault="0089285D" w:rsidP="002172E1">
                  <w:r w:rsidRPr="0089285D">
                    <w:t>Application of Quality Criteria</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E1EA195" w14:textId="095EA655" w:rsidR="0089285D" w:rsidRPr="0089285D" w:rsidRDefault="0089285D" w:rsidP="0089285D">
                  <w:pPr>
                    <w:jc w:val="center"/>
                  </w:pPr>
                  <w:r w:rsidRPr="0089285D">
                    <w:t>5-</w:t>
                  </w:r>
                  <w:r w:rsidR="003E072E">
                    <w:t>7</w:t>
                  </w:r>
                </w:p>
              </w:tc>
            </w:tr>
            <w:tr w:rsidR="0089285D" w:rsidRPr="0089285D" w14:paraId="3E1EA19A" w14:textId="77777777" w:rsidTr="0089285D">
              <w:tc>
                <w:tcPr>
                  <w:tcW w:w="641" w:type="pct"/>
                  <w:tcBorders>
                    <w:top w:val="single" w:sz="4" w:space="0" w:color="auto"/>
                    <w:left w:val="single" w:sz="4" w:space="0" w:color="auto"/>
                    <w:bottom w:val="single" w:sz="4" w:space="0" w:color="auto"/>
                    <w:right w:val="single" w:sz="4" w:space="0" w:color="auto"/>
                  </w:tcBorders>
                  <w:shd w:val="clear" w:color="auto" w:fill="auto"/>
                </w:tcPr>
                <w:p w14:paraId="3E1EA197" w14:textId="77777777" w:rsidR="0089285D" w:rsidRPr="0089285D" w:rsidRDefault="0089285D" w:rsidP="0089285D">
                  <w:pPr>
                    <w:jc w:val="center"/>
                  </w:pPr>
                  <w:r w:rsidRPr="0089285D">
                    <w:t>5</w:t>
                  </w:r>
                </w:p>
              </w:tc>
              <w:tc>
                <w:tcPr>
                  <w:tcW w:w="3757" w:type="pct"/>
                  <w:tcBorders>
                    <w:top w:val="single" w:sz="4" w:space="0" w:color="auto"/>
                    <w:left w:val="single" w:sz="4" w:space="0" w:color="auto"/>
                    <w:bottom w:val="single" w:sz="4" w:space="0" w:color="auto"/>
                    <w:right w:val="single" w:sz="4" w:space="0" w:color="auto"/>
                  </w:tcBorders>
                  <w:shd w:val="clear" w:color="auto" w:fill="auto"/>
                </w:tcPr>
                <w:p w14:paraId="3E1EA198" w14:textId="77777777" w:rsidR="0089285D" w:rsidRPr="0089285D" w:rsidRDefault="0089285D" w:rsidP="002172E1">
                  <w:r w:rsidRPr="0089285D">
                    <w:t>Reporting</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E1EA199" w14:textId="0F1FD25D" w:rsidR="0089285D" w:rsidRPr="0089285D" w:rsidRDefault="0089285D" w:rsidP="0089285D">
                  <w:pPr>
                    <w:jc w:val="center"/>
                  </w:pPr>
                  <w:r w:rsidRPr="0089285D">
                    <w:t>5-</w:t>
                  </w:r>
                  <w:r w:rsidR="003E072E">
                    <w:t>10</w:t>
                  </w:r>
                </w:p>
              </w:tc>
            </w:tr>
          </w:tbl>
          <w:p w14:paraId="3E1EA19B" w14:textId="77777777" w:rsidR="0089285D" w:rsidRPr="0089285D" w:rsidRDefault="0089285D" w:rsidP="002172E1">
            <w:pPr>
              <w:pStyle w:val="BlockText"/>
            </w:pPr>
            <w:r w:rsidRPr="0089285D">
              <w:t xml:space="preserve"> </w:t>
            </w:r>
          </w:p>
        </w:tc>
      </w:tr>
      <w:bookmarkEnd w:id="2"/>
    </w:tbl>
    <w:p w14:paraId="4C65A7E0" w14:textId="77777777" w:rsidR="00B8507F" w:rsidRDefault="00B8507F" w:rsidP="00B8507F">
      <w:pPr>
        <w:pStyle w:val="BlockLine"/>
      </w:pPr>
    </w:p>
    <w:p w14:paraId="72E60966" w14:textId="77777777" w:rsidR="00B8507F" w:rsidRDefault="00B8507F" w:rsidP="0089285D">
      <w:pPr>
        <w:spacing w:after="200" w:line="276" w:lineRule="auto"/>
      </w:pPr>
    </w:p>
    <w:p w14:paraId="7E0383C3" w14:textId="77777777" w:rsidR="00B8507F" w:rsidRDefault="00B8507F" w:rsidP="0089285D">
      <w:pPr>
        <w:spacing w:after="200" w:line="276" w:lineRule="auto"/>
      </w:pPr>
    </w:p>
    <w:p w14:paraId="67E2DDD4" w14:textId="77777777" w:rsidR="00B8507F" w:rsidRDefault="00B8507F" w:rsidP="0089285D">
      <w:pPr>
        <w:spacing w:after="200" w:line="276" w:lineRule="auto"/>
      </w:pPr>
    </w:p>
    <w:p w14:paraId="0564EFF3" w14:textId="77777777" w:rsidR="00B8507F" w:rsidRDefault="00B8507F" w:rsidP="0089285D">
      <w:pPr>
        <w:spacing w:after="200" w:line="276" w:lineRule="auto"/>
      </w:pPr>
    </w:p>
    <w:p w14:paraId="3E1EA19E" w14:textId="67292710" w:rsidR="00F17D62" w:rsidRDefault="00F17D62" w:rsidP="0089285D">
      <w:pPr>
        <w:spacing w:after="200" w:line="276" w:lineRule="auto"/>
      </w:pPr>
      <w:r>
        <w:br w:type="page"/>
      </w:r>
    </w:p>
    <w:p w14:paraId="30CC8BEC" w14:textId="77777777" w:rsidR="0089285D" w:rsidRPr="0089285D" w:rsidRDefault="0089285D" w:rsidP="0089285D">
      <w:pPr>
        <w:spacing w:after="200" w:line="276" w:lineRule="auto"/>
      </w:pPr>
    </w:p>
    <w:p w14:paraId="3E1EA19F" w14:textId="68D6C5E7" w:rsidR="0089285D" w:rsidRPr="0089285D" w:rsidRDefault="0089285D" w:rsidP="00D76A62">
      <w:pPr>
        <w:pStyle w:val="Heading4"/>
      </w:pPr>
      <w:bookmarkStart w:id="4" w:name="fs_PRk7Q8htV0Dok0GIikhQ"/>
      <w:r w:rsidRPr="0089285D">
        <w:t xml:space="preserve">1.  </w:t>
      </w:r>
      <w:r w:rsidR="00977A78">
        <w:t xml:space="preserve">General Information </w:t>
      </w:r>
      <w:r w:rsidR="006E627C">
        <w:t>o</w:t>
      </w:r>
      <w:r w:rsidR="006F55CE">
        <w:t>n</w:t>
      </w:r>
      <w:r w:rsidR="00977A78">
        <w:t xml:space="preserve"> Lender and Servicer Audits</w:t>
      </w:r>
    </w:p>
    <w:bookmarkEnd w:id="4"/>
    <w:p w14:paraId="3E1EA1A0" w14:textId="0FBC2B95" w:rsidR="0089285D" w:rsidRDefault="0089285D" w:rsidP="0089285D">
      <w:pPr>
        <w:pStyle w:val="BlockLine"/>
      </w:pPr>
    </w:p>
    <w:tbl>
      <w:tblPr>
        <w:tblpPr w:leftFromText="180" w:rightFromText="180" w:vertAnchor="text" w:horzAnchor="margin" w:tblpY="20"/>
        <w:tblW w:w="9500" w:type="dxa"/>
        <w:tblLayout w:type="fixed"/>
        <w:tblLook w:val="0000" w:firstRow="0" w:lastRow="0" w:firstColumn="0" w:lastColumn="0" w:noHBand="0" w:noVBand="0"/>
      </w:tblPr>
      <w:tblGrid>
        <w:gridCol w:w="1728"/>
        <w:gridCol w:w="7772"/>
      </w:tblGrid>
      <w:tr w:rsidR="007C0576" w14:paraId="4659F41D" w14:textId="77777777" w:rsidTr="007C0576">
        <w:tc>
          <w:tcPr>
            <w:tcW w:w="1728" w:type="dxa"/>
            <w:shd w:val="clear" w:color="auto" w:fill="auto"/>
          </w:tcPr>
          <w:p w14:paraId="3187DCFA" w14:textId="03F6DA33" w:rsidR="007C0576" w:rsidRDefault="007C0576" w:rsidP="007C0576">
            <w:pPr>
              <w:pStyle w:val="Heading5"/>
            </w:pPr>
            <w:bookmarkStart w:id="5" w:name="fs_ThcA6pNS3kqFdwNCMVgiQA" w:colFirst="0" w:colLast="0"/>
            <w:r>
              <w:t>Change Date</w:t>
            </w:r>
          </w:p>
        </w:tc>
        <w:tc>
          <w:tcPr>
            <w:tcW w:w="7772" w:type="dxa"/>
            <w:shd w:val="clear" w:color="auto" w:fill="auto"/>
          </w:tcPr>
          <w:p w14:paraId="110876E1" w14:textId="5816208C" w:rsidR="00E26A30" w:rsidRDefault="00207833" w:rsidP="00E26A30">
            <w:pPr>
              <w:pStyle w:val="BlockText"/>
            </w:pPr>
            <w:r>
              <w:t>January 25, 2016</w:t>
            </w:r>
            <w:r w:rsidR="00E26A30">
              <w:t>, Change 1</w:t>
            </w:r>
          </w:p>
          <w:p w14:paraId="4435285B" w14:textId="0CC5447F" w:rsidR="007C0576" w:rsidRDefault="00E26A30" w:rsidP="006D44CF">
            <w:pPr>
              <w:pStyle w:val="BlockText"/>
              <w:numPr>
                <w:ilvl w:val="0"/>
                <w:numId w:val="47"/>
              </w:numPr>
              <w:ind w:left="342"/>
            </w:pPr>
            <w:r>
              <w:t>This entire section has been updated.</w:t>
            </w:r>
          </w:p>
        </w:tc>
      </w:tr>
      <w:bookmarkEnd w:id="5"/>
    </w:tbl>
    <w:p w14:paraId="00814483" w14:textId="77777777" w:rsidR="001573C1" w:rsidRPr="007C0576" w:rsidRDefault="001573C1" w:rsidP="001573C1">
      <w:pPr>
        <w:pStyle w:val="BlockLine"/>
      </w:pPr>
    </w:p>
    <w:tbl>
      <w:tblPr>
        <w:tblW w:w="9500" w:type="dxa"/>
        <w:tblLayout w:type="fixed"/>
        <w:tblLook w:val="0000" w:firstRow="0" w:lastRow="0" w:firstColumn="0" w:lastColumn="0" w:noHBand="0" w:noVBand="0"/>
      </w:tblPr>
      <w:tblGrid>
        <w:gridCol w:w="1728"/>
        <w:gridCol w:w="7772"/>
      </w:tblGrid>
      <w:tr w:rsidR="0089285D" w:rsidRPr="0089285D" w14:paraId="3E1EA1A3" w14:textId="77777777" w:rsidTr="002172E1">
        <w:tc>
          <w:tcPr>
            <w:tcW w:w="1728" w:type="dxa"/>
            <w:shd w:val="clear" w:color="auto" w:fill="auto"/>
          </w:tcPr>
          <w:p w14:paraId="3E1EA1A1" w14:textId="0F2F50EB" w:rsidR="0089285D" w:rsidRPr="0089285D" w:rsidRDefault="00F7471B" w:rsidP="002172E1">
            <w:pPr>
              <w:pStyle w:val="Heading5"/>
            </w:pPr>
            <w:bookmarkStart w:id="6" w:name="fs_bzv7P2cP5Um13qVlGXTFtQ" w:colFirst="0" w:colLast="0"/>
            <w:r>
              <w:t>a. Overview</w:t>
            </w:r>
          </w:p>
        </w:tc>
        <w:tc>
          <w:tcPr>
            <w:tcW w:w="7772" w:type="dxa"/>
            <w:shd w:val="clear" w:color="auto" w:fill="auto"/>
          </w:tcPr>
          <w:p w14:paraId="3E1EA1A2" w14:textId="5BC5C70B" w:rsidR="0089285D" w:rsidRPr="0089285D" w:rsidRDefault="0089285D" w:rsidP="003218A7">
            <w:pPr>
              <w:pStyle w:val="BlockText"/>
            </w:pPr>
            <w:r w:rsidRPr="0089285D">
              <w:t xml:space="preserve">This chapter describes the evaluation procedures used in conducting lender and servicer audits by the Monitoring Unit (MU).  The MU’s overall mission is to ensure program integrity by conducting quality assurance audits of program participants.  This is accomplished by conducting audits to ensure that </w:t>
            </w:r>
            <w:r w:rsidR="00D6428A">
              <w:t>l</w:t>
            </w:r>
            <w:r w:rsidRPr="0089285D">
              <w:t xml:space="preserve">enders and </w:t>
            </w:r>
            <w:r w:rsidR="00D6428A">
              <w:t>s</w:t>
            </w:r>
            <w:r w:rsidRPr="0089285D">
              <w:t xml:space="preserve">ervicers are in compliance with laws, regulations, and policies governing VA’s </w:t>
            </w:r>
            <w:r w:rsidR="003218A7">
              <w:t>G</w:t>
            </w:r>
            <w:r w:rsidR="003218A7" w:rsidRPr="0089285D">
              <w:t xml:space="preserve">uaranteed </w:t>
            </w:r>
            <w:r w:rsidR="003218A7">
              <w:t>H</w:t>
            </w:r>
            <w:r w:rsidRPr="0089285D">
              <w:t xml:space="preserve">ome </w:t>
            </w:r>
            <w:r w:rsidR="003218A7">
              <w:t>L</w:t>
            </w:r>
            <w:r w:rsidRPr="0089285D">
              <w:t>oan program.</w:t>
            </w:r>
          </w:p>
        </w:tc>
      </w:tr>
      <w:bookmarkEnd w:id="6"/>
    </w:tbl>
    <w:p w14:paraId="21EB6119" w14:textId="4BABFF43" w:rsidR="00B8507F" w:rsidRDefault="00B8507F" w:rsidP="007C0576">
      <w:pPr>
        <w:pStyle w:val="BlockLine"/>
      </w:pPr>
    </w:p>
    <w:p w14:paraId="206C8156" w14:textId="77777777" w:rsidR="00B8507F" w:rsidRDefault="00B8507F">
      <w:pPr>
        <w:spacing w:after="200" w:line="276" w:lineRule="auto"/>
        <w:rPr>
          <w:szCs w:val="20"/>
        </w:rPr>
      </w:pPr>
      <w:r>
        <w:br w:type="page"/>
      </w:r>
    </w:p>
    <w:p w14:paraId="3E1EA1A5" w14:textId="4D71D506" w:rsidR="0089285D" w:rsidRPr="0089285D" w:rsidRDefault="0089285D" w:rsidP="00017DB3">
      <w:pPr>
        <w:pStyle w:val="Heading4"/>
      </w:pPr>
      <w:bookmarkStart w:id="7" w:name="fs_uRzmSsEzakqPYAuBKr5x9Q"/>
      <w:r w:rsidRPr="0089285D">
        <w:lastRenderedPageBreak/>
        <w:t xml:space="preserve">2.  </w:t>
      </w:r>
      <w:r w:rsidR="00712471">
        <w:t>Objective</w:t>
      </w:r>
    </w:p>
    <w:bookmarkEnd w:id="7"/>
    <w:p w14:paraId="3E1EA1A6" w14:textId="77777777" w:rsidR="0089285D" w:rsidRDefault="0089285D" w:rsidP="0089285D">
      <w:pPr>
        <w:pStyle w:val="BlockLine"/>
      </w:pPr>
    </w:p>
    <w:tbl>
      <w:tblPr>
        <w:tblW w:w="0" w:type="auto"/>
        <w:tblLayout w:type="fixed"/>
        <w:tblLook w:val="0000" w:firstRow="0" w:lastRow="0" w:firstColumn="0" w:lastColumn="0" w:noHBand="0" w:noVBand="0"/>
      </w:tblPr>
      <w:tblGrid>
        <w:gridCol w:w="1728"/>
        <w:gridCol w:w="7740"/>
      </w:tblGrid>
      <w:tr w:rsidR="00B8507F" w:rsidRPr="00394D58" w14:paraId="126BAF69" w14:textId="77777777" w:rsidTr="002172E1">
        <w:tc>
          <w:tcPr>
            <w:tcW w:w="1728" w:type="dxa"/>
            <w:shd w:val="clear" w:color="auto" w:fill="auto"/>
          </w:tcPr>
          <w:p w14:paraId="2663C6C5" w14:textId="77777777" w:rsidR="00B8507F" w:rsidRPr="00394D58" w:rsidRDefault="00B8507F" w:rsidP="002172E1">
            <w:pPr>
              <w:pStyle w:val="Heading5"/>
            </w:pPr>
            <w:bookmarkStart w:id="8" w:name="fs_M8niWsAlCkuKVyreQUVGkg" w:colFirst="0" w:colLast="0"/>
            <w:r>
              <w:t>Change Date</w:t>
            </w:r>
          </w:p>
        </w:tc>
        <w:tc>
          <w:tcPr>
            <w:tcW w:w="7740" w:type="dxa"/>
            <w:shd w:val="clear" w:color="auto" w:fill="auto"/>
          </w:tcPr>
          <w:p w14:paraId="5CCD30B5" w14:textId="383D2B71" w:rsidR="00B8507F" w:rsidRDefault="00207833" w:rsidP="002172E1">
            <w:pPr>
              <w:pStyle w:val="BlockText"/>
            </w:pPr>
            <w:r>
              <w:t>January 25, 2016</w:t>
            </w:r>
            <w:r w:rsidR="00B8507F">
              <w:t>, Change 1</w:t>
            </w:r>
          </w:p>
          <w:p w14:paraId="46D271FC" w14:textId="77777777" w:rsidR="00B8507F" w:rsidRPr="00394D58" w:rsidRDefault="00B8507F" w:rsidP="006D44CF">
            <w:pPr>
              <w:pStyle w:val="BulletText1"/>
              <w:tabs>
                <w:tab w:val="clear" w:pos="173"/>
              </w:tabs>
              <w:ind w:left="342" w:hanging="342"/>
            </w:pPr>
            <w:r>
              <w:t>This entire section has been updated.</w:t>
            </w:r>
          </w:p>
        </w:tc>
      </w:tr>
      <w:bookmarkEnd w:id="8"/>
    </w:tbl>
    <w:p w14:paraId="7DAA8B77" w14:textId="77777777" w:rsidR="00B8507F" w:rsidRDefault="00B8507F" w:rsidP="00B8507F">
      <w:pPr>
        <w:pStyle w:val="BlockLine"/>
      </w:pPr>
    </w:p>
    <w:tbl>
      <w:tblPr>
        <w:tblW w:w="9500" w:type="dxa"/>
        <w:tblLayout w:type="fixed"/>
        <w:tblLook w:val="0000" w:firstRow="0" w:lastRow="0" w:firstColumn="0" w:lastColumn="0" w:noHBand="0" w:noVBand="0"/>
      </w:tblPr>
      <w:tblGrid>
        <w:gridCol w:w="1728"/>
        <w:gridCol w:w="7772"/>
      </w:tblGrid>
      <w:tr w:rsidR="0089285D" w:rsidRPr="0089285D" w14:paraId="3E1EA1B1" w14:textId="77777777" w:rsidTr="002172E1">
        <w:tc>
          <w:tcPr>
            <w:tcW w:w="1728" w:type="dxa"/>
            <w:shd w:val="clear" w:color="auto" w:fill="auto"/>
          </w:tcPr>
          <w:p w14:paraId="3E1EA1A7" w14:textId="25400544" w:rsidR="0089285D" w:rsidRPr="0089285D" w:rsidRDefault="00F7471B" w:rsidP="002172E1">
            <w:pPr>
              <w:pStyle w:val="Heading5"/>
            </w:pPr>
            <w:bookmarkStart w:id="9" w:name="fs_mIuPuUByAk21k9AJ6Y5tsQ" w:colFirst="0" w:colLast="0"/>
            <w:r>
              <w:t>a. Purposes of Conducting Lender and Servicer Audits</w:t>
            </w:r>
          </w:p>
        </w:tc>
        <w:tc>
          <w:tcPr>
            <w:tcW w:w="7772" w:type="dxa"/>
            <w:shd w:val="clear" w:color="auto" w:fill="auto"/>
          </w:tcPr>
          <w:p w14:paraId="61CC3C11" w14:textId="230633D4" w:rsidR="00405BFD" w:rsidRDefault="00405BFD" w:rsidP="00405BFD">
            <w:pPr>
              <w:pStyle w:val="BulletText3"/>
              <w:numPr>
                <w:ilvl w:val="0"/>
                <w:numId w:val="0"/>
              </w:numPr>
            </w:pPr>
            <w:r>
              <w:t xml:space="preserve">The </w:t>
            </w:r>
            <w:r w:rsidR="00712471">
              <w:t xml:space="preserve">objective </w:t>
            </w:r>
            <w:r>
              <w:t>of conducting lender and servicer audits is as follows:</w:t>
            </w:r>
          </w:p>
          <w:p w14:paraId="104ADFCA" w14:textId="77777777" w:rsidR="00405BFD" w:rsidRDefault="00405BFD" w:rsidP="00405BFD">
            <w:pPr>
              <w:pStyle w:val="BulletText3"/>
              <w:numPr>
                <w:ilvl w:val="0"/>
                <w:numId w:val="0"/>
              </w:numPr>
            </w:pPr>
          </w:p>
          <w:p w14:paraId="3E1EA1A8" w14:textId="7CF1CC26" w:rsidR="0089285D" w:rsidRPr="0089285D" w:rsidRDefault="0089285D" w:rsidP="00EF4104">
            <w:pPr>
              <w:pStyle w:val="BulletText3"/>
              <w:numPr>
                <w:ilvl w:val="0"/>
                <w:numId w:val="39"/>
              </w:numPr>
            </w:pPr>
            <w:r w:rsidRPr="0089285D">
              <w:t>Ensure that lenders</w:t>
            </w:r>
            <w:r w:rsidR="005A12E3">
              <w:t xml:space="preserve"> and s</w:t>
            </w:r>
            <w:r w:rsidRPr="0089285D">
              <w:t xml:space="preserve">ervicers are in compliance with the laws, regulations, and policies governing VA’s </w:t>
            </w:r>
            <w:r w:rsidR="003218A7">
              <w:t>G</w:t>
            </w:r>
            <w:r w:rsidRPr="0089285D">
              <w:t xml:space="preserve">uaranteed </w:t>
            </w:r>
            <w:r w:rsidR="003218A7">
              <w:t>H</w:t>
            </w:r>
            <w:r w:rsidRPr="0089285D">
              <w:t xml:space="preserve">ome </w:t>
            </w:r>
            <w:r w:rsidR="003218A7">
              <w:t>L</w:t>
            </w:r>
            <w:r w:rsidRPr="0089285D">
              <w:t>oan program.</w:t>
            </w:r>
          </w:p>
          <w:p w14:paraId="3E1EA1AA" w14:textId="602FE772" w:rsidR="0089285D" w:rsidRPr="0089285D" w:rsidRDefault="0089285D" w:rsidP="00EF4104">
            <w:pPr>
              <w:pStyle w:val="BulletText3"/>
              <w:numPr>
                <w:ilvl w:val="0"/>
                <w:numId w:val="39"/>
              </w:numPr>
            </w:pPr>
            <w:r w:rsidRPr="0089285D">
              <w:t xml:space="preserve">Determine whether VA loans closed by a lender meet VA requirements pertaining to: </w:t>
            </w:r>
            <w:r w:rsidR="00596C97">
              <w:t>underwriting</w:t>
            </w:r>
            <w:r w:rsidRPr="0089285D">
              <w:t xml:space="preserve">, property eligibility, and appraisal review guidelines. </w:t>
            </w:r>
          </w:p>
          <w:p w14:paraId="3E1EA1AC" w14:textId="46AB902E" w:rsidR="0089285D" w:rsidRPr="0089285D" w:rsidRDefault="00596C97" w:rsidP="00EF4104">
            <w:pPr>
              <w:pStyle w:val="BulletText3"/>
              <w:numPr>
                <w:ilvl w:val="0"/>
                <w:numId w:val="39"/>
              </w:numPr>
            </w:pPr>
            <w:r>
              <w:t xml:space="preserve">Perform </w:t>
            </w:r>
            <w:r w:rsidR="0089285D" w:rsidRPr="0089285D">
              <w:t xml:space="preserve">servicer audits </w:t>
            </w:r>
            <w:r>
              <w:t xml:space="preserve">to </w:t>
            </w:r>
            <w:r w:rsidR="0089285D" w:rsidRPr="0089285D">
              <w:t>determine whether the VA loan is being properly reported</w:t>
            </w:r>
            <w:r w:rsidR="005A12E3">
              <w:t xml:space="preserve"> and </w:t>
            </w:r>
            <w:r w:rsidR="0089285D" w:rsidRPr="0089285D">
              <w:t>serviced during the default period</w:t>
            </w:r>
            <w:r>
              <w:t xml:space="preserve"> and </w:t>
            </w:r>
            <w:r w:rsidR="0089285D" w:rsidRPr="0089285D">
              <w:t>that proper alternatives to foreclosure are being considered</w:t>
            </w:r>
            <w:r>
              <w:t>.</w:t>
            </w:r>
            <w:r w:rsidR="0089285D" w:rsidRPr="0089285D">
              <w:t xml:space="preserve"> </w:t>
            </w:r>
            <w:r>
              <w:t>I</w:t>
            </w:r>
            <w:r w:rsidR="0089285D" w:rsidRPr="0089285D">
              <w:t xml:space="preserve">n the case of </w:t>
            </w:r>
            <w:r>
              <w:t xml:space="preserve">a </w:t>
            </w:r>
            <w:r w:rsidR="0089285D" w:rsidRPr="0089285D">
              <w:t>foreclosure</w:t>
            </w:r>
            <w:r>
              <w:t>, determine</w:t>
            </w:r>
            <w:r w:rsidR="0089285D" w:rsidRPr="0089285D">
              <w:t xml:space="preserve"> that the claim submitted by the servicer is correct and no unallowable fees are paid.</w:t>
            </w:r>
          </w:p>
          <w:p w14:paraId="3E1EA1AE" w14:textId="13EEE9B6" w:rsidR="0089285D" w:rsidRPr="0089285D" w:rsidRDefault="0089285D" w:rsidP="00EF4104">
            <w:pPr>
              <w:pStyle w:val="BulletText3"/>
              <w:numPr>
                <w:ilvl w:val="0"/>
                <w:numId w:val="39"/>
              </w:numPr>
            </w:pPr>
            <w:r w:rsidRPr="0089285D">
              <w:t>Identify deficiencies and advise</w:t>
            </w:r>
            <w:r w:rsidR="005A12E3">
              <w:t xml:space="preserve"> lenders and s</w:t>
            </w:r>
            <w:r w:rsidR="00EF02F7">
              <w:t>ervicer</w:t>
            </w:r>
            <w:r w:rsidR="005A12E3">
              <w:t>s</w:t>
            </w:r>
            <w:r w:rsidRPr="0089285D">
              <w:t xml:space="preserve"> of action</w:t>
            </w:r>
            <w:r w:rsidR="005A12E3">
              <w:t>s</w:t>
            </w:r>
            <w:r w:rsidRPr="0089285D">
              <w:t xml:space="preserve"> necessary to correct deficiencies.</w:t>
            </w:r>
          </w:p>
          <w:p w14:paraId="3E1EA1B0" w14:textId="2D39B553" w:rsidR="0089285D" w:rsidRPr="0089285D" w:rsidRDefault="0089285D">
            <w:pPr>
              <w:pStyle w:val="BulletText3"/>
              <w:numPr>
                <w:ilvl w:val="0"/>
                <w:numId w:val="39"/>
              </w:numPr>
            </w:pPr>
            <w:r w:rsidRPr="0089285D">
              <w:t xml:space="preserve">Provide feedback to </w:t>
            </w:r>
            <w:r w:rsidR="005A12E3">
              <w:t>l</w:t>
            </w:r>
            <w:r w:rsidR="00EF02F7">
              <w:t>ender</w:t>
            </w:r>
            <w:r w:rsidR="005A12E3">
              <w:t>s and s</w:t>
            </w:r>
            <w:r w:rsidR="00EF02F7">
              <w:t>ervicer</w:t>
            </w:r>
            <w:r w:rsidR="005A12E3">
              <w:t>s</w:t>
            </w:r>
            <w:r w:rsidRPr="0089285D">
              <w:t xml:space="preserve"> for improvement in procedures</w:t>
            </w:r>
            <w:r w:rsidR="00596C97">
              <w:t>,</w:t>
            </w:r>
            <w:r w:rsidRPr="0089285D">
              <w:t xml:space="preserve"> where necessary.</w:t>
            </w:r>
          </w:p>
        </w:tc>
      </w:tr>
      <w:bookmarkEnd w:id="9"/>
    </w:tbl>
    <w:p w14:paraId="3E1EA1B2" w14:textId="62C7E052" w:rsidR="0089285D" w:rsidRPr="0089285D" w:rsidRDefault="0089285D" w:rsidP="0089285D">
      <w:pPr>
        <w:pStyle w:val="BlockLine"/>
      </w:pPr>
    </w:p>
    <w:p w14:paraId="03432E0B" w14:textId="77777777" w:rsidR="00ED1A92" w:rsidRDefault="00ED1A92" w:rsidP="00017DB3">
      <w:pPr>
        <w:pStyle w:val="Heading4"/>
      </w:pPr>
      <w:bookmarkStart w:id="10" w:name="fs_HvQvg0GmUm3vbNkemmSYg"/>
      <w:r>
        <w:br w:type="page"/>
      </w:r>
    </w:p>
    <w:p w14:paraId="3E1EA1B3" w14:textId="4B25C6A9" w:rsidR="0089285D" w:rsidRPr="0089285D" w:rsidRDefault="0089285D" w:rsidP="00017DB3">
      <w:pPr>
        <w:pStyle w:val="Heading4"/>
      </w:pPr>
      <w:bookmarkStart w:id="11" w:name="fs_UUpFam2vi0mj0kvP5BMg"/>
      <w:r w:rsidRPr="0089285D">
        <w:lastRenderedPageBreak/>
        <w:t>3.  Sampling</w:t>
      </w:r>
    </w:p>
    <w:bookmarkEnd w:id="10"/>
    <w:bookmarkEnd w:id="11"/>
    <w:p w14:paraId="3E1EA1B4" w14:textId="5926E03B" w:rsidR="0089285D" w:rsidRDefault="0089285D" w:rsidP="0089285D">
      <w:pPr>
        <w:pStyle w:val="BlockLine"/>
      </w:pPr>
    </w:p>
    <w:tbl>
      <w:tblPr>
        <w:tblW w:w="0" w:type="auto"/>
        <w:tblLayout w:type="fixed"/>
        <w:tblLook w:val="0000" w:firstRow="0" w:lastRow="0" w:firstColumn="0" w:lastColumn="0" w:noHBand="0" w:noVBand="0"/>
      </w:tblPr>
      <w:tblGrid>
        <w:gridCol w:w="1728"/>
        <w:gridCol w:w="7740"/>
      </w:tblGrid>
      <w:tr w:rsidR="00B8507F" w:rsidRPr="00394D58" w14:paraId="771711AB" w14:textId="77777777" w:rsidTr="002172E1">
        <w:tc>
          <w:tcPr>
            <w:tcW w:w="1728" w:type="dxa"/>
            <w:shd w:val="clear" w:color="auto" w:fill="auto"/>
          </w:tcPr>
          <w:p w14:paraId="7818D6E6" w14:textId="77777777" w:rsidR="00B8507F" w:rsidRPr="00394D58" w:rsidRDefault="00B8507F" w:rsidP="002172E1">
            <w:pPr>
              <w:pStyle w:val="Heading5"/>
            </w:pPr>
            <w:bookmarkStart w:id="12" w:name="fs_DWUHO0HkUE2iXuEQY6xLMg" w:colFirst="0" w:colLast="0"/>
            <w:r>
              <w:t>Change Date</w:t>
            </w:r>
          </w:p>
        </w:tc>
        <w:tc>
          <w:tcPr>
            <w:tcW w:w="7740" w:type="dxa"/>
            <w:shd w:val="clear" w:color="auto" w:fill="auto"/>
          </w:tcPr>
          <w:p w14:paraId="6BF934B5" w14:textId="3F236264" w:rsidR="00B8507F" w:rsidRDefault="00207833" w:rsidP="002172E1">
            <w:pPr>
              <w:pStyle w:val="BlockText"/>
            </w:pPr>
            <w:r>
              <w:t>January 25, 2016</w:t>
            </w:r>
            <w:r w:rsidR="00B8507F">
              <w:t>, Change 1</w:t>
            </w:r>
          </w:p>
          <w:p w14:paraId="5267E708" w14:textId="77777777" w:rsidR="00B8507F" w:rsidRPr="00394D58" w:rsidRDefault="00B8507F" w:rsidP="006D44CF">
            <w:pPr>
              <w:pStyle w:val="BulletText1"/>
              <w:tabs>
                <w:tab w:val="clear" w:pos="173"/>
              </w:tabs>
              <w:ind w:left="342" w:hanging="342"/>
            </w:pPr>
            <w:r>
              <w:t>This entire section has been updated.</w:t>
            </w:r>
          </w:p>
        </w:tc>
      </w:tr>
      <w:bookmarkEnd w:id="12"/>
    </w:tbl>
    <w:p w14:paraId="0B105B6F" w14:textId="77777777" w:rsidR="00B8507F" w:rsidRDefault="00B8507F" w:rsidP="00B8507F">
      <w:pPr>
        <w:pStyle w:val="BlockLine"/>
      </w:pPr>
    </w:p>
    <w:tbl>
      <w:tblPr>
        <w:tblW w:w="9500" w:type="dxa"/>
        <w:tblLayout w:type="fixed"/>
        <w:tblLook w:val="0000" w:firstRow="0" w:lastRow="0" w:firstColumn="0" w:lastColumn="0" w:noHBand="0" w:noVBand="0"/>
      </w:tblPr>
      <w:tblGrid>
        <w:gridCol w:w="1728"/>
        <w:gridCol w:w="7772"/>
      </w:tblGrid>
      <w:tr w:rsidR="005E3BD3" w:rsidRPr="0089285D" w14:paraId="3E1EA1D7" w14:textId="77777777" w:rsidTr="006D44CF">
        <w:trPr>
          <w:trHeight w:val="9576"/>
        </w:trPr>
        <w:tc>
          <w:tcPr>
            <w:tcW w:w="1728" w:type="dxa"/>
            <w:vMerge w:val="restart"/>
            <w:tcBorders>
              <w:top w:val="nil"/>
            </w:tcBorders>
            <w:shd w:val="clear" w:color="auto" w:fill="auto"/>
          </w:tcPr>
          <w:p w14:paraId="3E1EA1B6" w14:textId="43F21F9F" w:rsidR="005E3BD3" w:rsidRPr="00112B06" w:rsidRDefault="005E3BD3" w:rsidP="002172E1">
            <w:pPr>
              <w:pStyle w:val="Heading5"/>
              <w:rPr>
                <w:sz w:val="20"/>
              </w:rPr>
            </w:pPr>
            <w:bookmarkStart w:id="13" w:name="fs_t0kWRLnMjkazG2iihrfDLA" w:colFirst="0" w:colLast="0"/>
            <w:r>
              <w:rPr>
                <w:sz w:val="20"/>
              </w:rPr>
              <w:t xml:space="preserve">a. </w:t>
            </w:r>
            <w:r w:rsidRPr="00112B06">
              <w:t>Lender Selection</w:t>
            </w:r>
          </w:p>
        </w:tc>
        <w:tc>
          <w:tcPr>
            <w:tcW w:w="7772" w:type="dxa"/>
            <w:tcBorders>
              <w:top w:val="nil"/>
            </w:tcBorders>
            <w:shd w:val="clear" w:color="auto" w:fill="auto"/>
          </w:tcPr>
          <w:p w14:paraId="06DE77E3" w14:textId="3FEA4032" w:rsidR="005E3BD3" w:rsidRPr="00E37FDD" w:rsidRDefault="005E3BD3" w:rsidP="00112B06">
            <w:pPr>
              <w:numPr>
                <w:ilvl w:val="0"/>
                <w:numId w:val="38"/>
              </w:numPr>
              <w:rPr>
                <w:szCs w:val="20"/>
              </w:rPr>
            </w:pPr>
            <w:r w:rsidRPr="00E37FDD">
              <w:rPr>
                <w:szCs w:val="20"/>
              </w:rPr>
              <w:t>Lenders are reviewed based on the</w:t>
            </w:r>
            <w:r>
              <w:rPr>
                <w:szCs w:val="20"/>
              </w:rPr>
              <w:t xml:space="preserve"> following reasons:  v</w:t>
            </w:r>
            <w:r w:rsidRPr="00E37FDD">
              <w:rPr>
                <w:szCs w:val="20"/>
              </w:rPr>
              <w:t xml:space="preserve">olume of loans closed in a </w:t>
            </w:r>
            <w:r>
              <w:rPr>
                <w:szCs w:val="20"/>
              </w:rPr>
              <w:t>2</w:t>
            </w:r>
            <w:r w:rsidR="003218A7">
              <w:rPr>
                <w:szCs w:val="20"/>
              </w:rPr>
              <w:t>-</w:t>
            </w:r>
            <w:r w:rsidRPr="00E37FDD">
              <w:rPr>
                <w:szCs w:val="20"/>
              </w:rPr>
              <w:t>year period, delinquency ratio (DQ3), non-compliance percentage</w:t>
            </w:r>
            <w:r>
              <w:rPr>
                <w:szCs w:val="20"/>
              </w:rPr>
              <w:t xml:space="preserve"> and </w:t>
            </w:r>
            <w:r w:rsidRPr="00E37FDD">
              <w:rPr>
                <w:szCs w:val="20"/>
              </w:rPr>
              <w:t>referral by VACO Loan Policy</w:t>
            </w:r>
            <w:r w:rsidR="00B47523">
              <w:rPr>
                <w:szCs w:val="20"/>
              </w:rPr>
              <w:t xml:space="preserve"> (VACO)</w:t>
            </w:r>
            <w:r>
              <w:rPr>
                <w:szCs w:val="20"/>
              </w:rPr>
              <w:t>,</w:t>
            </w:r>
            <w:r w:rsidRPr="00E37FDD">
              <w:rPr>
                <w:szCs w:val="20"/>
              </w:rPr>
              <w:t xml:space="preserve"> Regional Loan Center</w:t>
            </w:r>
            <w:r>
              <w:rPr>
                <w:szCs w:val="20"/>
              </w:rPr>
              <w:t>s</w:t>
            </w:r>
            <w:r w:rsidRPr="00E37FDD">
              <w:rPr>
                <w:szCs w:val="20"/>
              </w:rPr>
              <w:t xml:space="preserve"> (RLC), Department of Veterans Affairs Office of Inspector General (OIG)</w:t>
            </w:r>
            <w:r w:rsidR="003218A7">
              <w:rPr>
                <w:szCs w:val="20"/>
              </w:rPr>
              <w:t>,</w:t>
            </w:r>
            <w:r w:rsidRPr="00E37FDD">
              <w:rPr>
                <w:szCs w:val="20"/>
              </w:rPr>
              <w:t xml:space="preserve"> </w:t>
            </w:r>
            <w:r>
              <w:rPr>
                <w:szCs w:val="20"/>
              </w:rPr>
              <w:t>or</w:t>
            </w:r>
            <w:r w:rsidRPr="00E37FDD">
              <w:rPr>
                <w:szCs w:val="20"/>
              </w:rPr>
              <w:t xml:space="preserve"> the Department of Housing and Urban Development (HUD).</w:t>
            </w:r>
          </w:p>
          <w:p w14:paraId="587A7AF6" w14:textId="7CE30CFD" w:rsidR="005E3BD3" w:rsidRPr="00E37FDD" w:rsidRDefault="005E3BD3" w:rsidP="00112B06">
            <w:pPr>
              <w:numPr>
                <w:ilvl w:val="0"/>
                <w:numId w:val="38"/>
              </w:numPr>
              <w:rPr>
                <w:szCs w:val="20"/>
              </w:rPr>
            </w:pPr>
            <w:r w:rsidRPr="00E37FDD">
              <w:rPr>
                <w:szCs w:val="20"/>
              </w:rPr>
              <w:t xml:space="preserve">The MU will review the most recent </w:t>
            </w:r>
            <w:proofErr w:type="spellStart"/>
            <w:r w:rsidRPr="00E37FDD">
              <w:rPr>
                <w:szCs w:val="20"/>
              </w:rPr>
              <w:t>Ginnie</w:t>
            </w:r>
            <w:proofErr w:type="spellEnd"/>
            <w:r w:rsidRPr="00E37FDD">
              <w:rPr>
                <w:szCs w:val="20"/>
              </w:rPr>
              <w:t xml:space="preserve"> Mae Portfolio Analysis Database System (GPADS) data for DQ3 ratios for each lender with an emphasis placed on the worst 100 lenders.  GPADS identify lenders based on their most recent 2-year volume.  Lenders appearing on the GPADS DQ3 lists with higher than normal default rates that have not been audited within the past 2 fiscal years are considered for selection.  A DQ3 </w:t>
            </w:r>
            <w:r>
              <w:rPr>
                <w:szCs w:val="20"/>
              </w:rPr>
              <w:t>r</w:t>
            </w:r>
            <w:r w:rsidRPr="00E37FDD">
              <w:rPr>
                <w:szCs w:val="20"/>
              </w:rPr>
              <w:t>atio is the proportion of loans delinquent for 3 or more months.</w:t>
            </w:r>
          </w:p>
          <w:p w14:paraId="32EC8A98" w14:textId="0D149027" w:rsidR="00B47523" w:rsidRPr="00E37FDD" w:rsidRDefault="005E3BD3" w:rsidP="00112B06">
            <w:pPr>
              <w:numPr>
                <w:ilvl w:val="0"/>
                <w:numId w:val="38"/>
              </w:numPr>
              <w:rPr>
                <w:szCs w:val="20"/>
              </w:rPr>
            </w:pPr>
            <w:r w:rsidRPr="00E37FDD">
              <w:rPr>
                <w:szCs w:val="20"/>
              </w:rPr>
              <w:t xml:space="preserve">MU will review </w:t>
            </w:r>
            <w:r w:rsidR="002172E1">
              <w:rPr>
                <w:szCs w:val="20"/>
              </w:rPr>
              <w:t>le</w:t>
            </w:r>
            <w:r w:rsidRPr="00E37FDD">
              <w:rPr>
                <w:szCs w:val="20"/>
              </w:rPr>
              <w:t xml:space="preserve">nders’ non-compliance with RLC deficiencies and submission of loan files for </w:t>
            </w:r>
            <w:r>
              <w:rPr>
                <w:szCs w:val="20"/>
              </w:rPr>
              <w:t>Full File Loan Review (</w:t>
            </w:r>
            <w:r w:rsidRPr="00E37FDD">
              <w:rPr>
                <w:szCs w:val="20"/>
              </w:rPr>
              <w:t>FFLR</w:t>
            </w:r>
            <w:r>
              <w:rPr>
                <w:szCs w:val="20"/>
              </w:rPr>
              <w:t>)</w:t>
            </w:r>
            <w:r w:rsidRPr="00E37FDD">
              <w:rPr>
                <w:szCs w:val="20"/>
              </w:rPr>
              <w:t>.  Lenders with high rates of non-compliance that have not been audited within the past 2 fiscal years are considered for selection</w:t>
            </w:r>
            <w:r>
              <w:rPr>
                <w:szCs w:val="20"/>
              </w:rPr>
              <w:t>.</w:t>
            </w:r>
          </w:p>
          <w:p w14:paraId="587778CC" w14:textId="77777777" w:rsidR="005E3BD3" w:rsidRPr="00E37FDD" w:rsidRDefault="005E3BD3" w:rsidP="00112B06"/>
          <w:p w14:paraId="7A620239" w14:textId="77777777" w:rsidR="005E3BD3" w:rsidRPr="00E37FDD" w:rsidRDefault="005E3BD3" w:rsidP="00112B06">
            <w:r w:rsidRPr="00E37FDD">
              <w:t>For all lender audits, the following documents may be requested:</w:t>
            </w:r>
          </w:p>
          <w:p w14:paraId="1CFC35ED" w14:textId="77777777" w:rsidR="005E3BD3" w:rsidRPr="00E37FDD" w:rsidRDefault="005E3BD3" w:rsidP="00112B06"/>
          <w:p w14:paraId="12AD8A42" w14:textId="77777777" w:rsidR="005E3BD3" w:rsidRPr="00E37FDD" w:rsidRDefault="005E3BD3" w:rsidP="00112B06">
            <w:pPr>
              <w:numPr>
                <w:ilvl w:val="0"/>
                <w:numId w:val="37"/>
              </w:numPr>
              <w:tabs>
                <w:tab w:val="left" w:pos="173"/>
              </w:tabs>
              <w:rPr>
                <w:noProof/>
                <w:szCs w:val="20"/>
              </w:rPr>
            </w:pPr>
            <w:r w:rsidRPr="00E37FDD">
              <w:rPr>
                <w:noProof/>
                <w:szCs w:val="20"/>
              </w:rPr>
              <w:t>Marketing materials used to solicit Veteran borrowers.</w:t>
            </w:r>
          </w:p>
          <w:p w14:paraId="269DD28E" w14:textId="2905525F" w:rsidR="005E3BD3" w:rsidRPr="00E37FDD" w:rsidRDefault="005E3BD3" w:rsidP="00112B06">
            <w:pPr>
              <w:numPr>
                <w:ilvl w:val="0"/>
                <w:numId w:val="37"/>
              </w:numPr>
              <w:tabs>
                <w:tab w:val="left" w:pos="173"/>
              </w:tabs>
              <w:rPr>
                <w:noProof/>
                <w:szCs w:val="20"/>
              </w:rPr>
            </w:pPr>
            <w:r w:rsidRPr="00E37FDD">
              <w:rPr>
                <w:noProof/>
                <w:szCs w:val="20"/>
              </w:rPr>
              <w:t xml:space="preserve">A copy of the results of loans reviewed in the last </w:t>
            </w:r>
            <w:r>
              <w:rPr>
                <w:noProof/>
                <w:szCs w:val="20"/>
              </w:rPr>
              <w:t>2</w:t>
            </w:r>
            <w:r w:rsidRPr="00E37FDD">
              <w:rPr>
                <w:noProof/>
                <w:szCs w:val="20"/>
              </w:rPr>
              <w:t xml:space="preserve"> reviews under the </w:t>
            </w:r>
            <w:r w:rsidR="002172E1">
              <w:rPr>
                <w:noProof/>
                <w:szCs w:val="20"/>
              </w:rPr>
              <w:t>l</w:t>
            </w:r>
            <w:r w:rsidRPr="00E37FDD">
              <w:rPr>
                <w:noProof/>
                <w:szCs w:val="20"/>
              </w:rPr>
              <w:t>ender’s Quality Control plan, along with the 10 most recent VA loans reviewed internally.</w:t>
            </w:r>
          </w:p>
          <w:p w14:paraId="0FA35D7E" w14:textId="45F5FC05" w:rsidR="005E3BD3" w:rsidRPr="00E37FDD" w:rsidRDefault="005E3BD3" w:rsidP="00112B06">
            <w:pPr>
              <w:numPr>
                <w:ilvl w:val="0"/>
                <w:numId w:val="37"/>
              </w:numPr>
              <w:tabs>
                <w:tab w:val="left" w:pos="173"/>
              </w:tabs>
              <w:rPr>
                <w:noProof/>
                <w:szCs w:val="20"/>
              </w:rPr>
            </w:pPr>
            <w:r w:rsidRPr="00E37FDD">
              <w:rPr>
                <w:noProof/>
                <w:szCs w:val="20"/>
              </w:rPr>
              <w:t xml:space="preserve">Evidence of random field reviews of VA fee panel appraisers as required by the </w:t>
            </w:r>
            <w:hyperlink r:id="rId12" w:history="1">
              <w:r w:rsidRPr="00E37FDD">
                <w:rPr>
                  <w:noProof/>
                  <w:color w:val="0000FF"/>
                  <w:szCs w:val="20"/>
                  <w:u w:val="single"/>
                </w:rPr>
                <w:t>Lender’s Handbook 26-7 15.02</w:t>
              </w:r>
            </w:hyperlink>
            <w:r w:rsidRPr="00E37FDD">
              <w:rPr>
                <w:noProof/>
                <w:szCs w:val="20"/>
              </w:rPr>
              <w:t xml:space="preserve">. (If reviews are done monthly, </w:t>
            </w:r>
            <w:r w:rsidR="003218A7">
              <w:rPr>
                <w:noProof/>
                <w:szCs w:val="20"/>
              </w:rPr>
              <w:t>2</w:t>
            </w:r>
            <w:r w:rsidR="003218A7" w:rsidRPr="00E37FDD">
              <w:rPr>
                <w:noProof/>
                <w:szCs w:val="20"/>
              </w:rPr>
              <w:t xml:space="preserve"> </w:t>
            </w:r>
            <w:r w:rsidRPr="00E37FDD">
              <w:rPr>
                <w:noProof/>
                <w:szCs w:val="20"/>
              </w:rPr>
              <w:t xml:space="preserve">months will be required.  If reviews are done quarterly, </w:t>
            </w:r>
            <w:r w:rsidR="003218A7">
              <w:rPr>
                <w:noProof/>
                <w:szCs w:val="20"/>
              </w:rPr>
              <w:t>1</w:t>
            </w:r>
            <w:r w:rsidR="003218A7" w:rsidRPr="00E37FDD">
              <w:rPr>
                <w:noProof/>
                <w:szCs w:val="20"/>
              </w:rPr>
              <w:t xml:space="preserve"> </w:t>
            </w:r>
            <w:r w:rsidRPr="00E37FDD">
              <w:rPr>
                <w:noProof/>
                <w:szCs w:val="20"/>
              </w:rPr>
              <w:t>month will be required.)</w:t>
            </w:r>
          </w:p>
          <w:p w14:paraId="2D71B54A" w14:textId="08D22223" w:rsidR="005E3BD3" w:rsidRPr="006D44CF" w:rsidRDefault="005E3BD3">
            <w:pPr>
              <w:numPr>
                <w:ilvl w:val="0"/>
                <w:numId w:val="37"/>
              </w:numPr>
              <w:tabs>
                <w:tab w:val="left" w:pos="173"/>
              </w:tabs>
              <w:rPr>
                <w:sz w:val="20"/>
              </w:rPr>
            </w:pPr>
            <w:r w:rsidRPr="00E37FDD">
              <w:rPr>
                <w:noProof/>
                <w:szCs w:val="20"/>
              </w:rPr>
              <w:t xml:space="preserve">Non-supervised lenders will need to provide the most recent application to close loans on an automatic basis per </w:t>
            </w:r>
            <w:hyperlink r:id="rId13" w:history="1">
              <w:r w:rsidRPr="00E37FDD">
                <w:rPr>
                  <w:noProof/>
                  <w:color w:val="0000FF"/>
                  <w:szCs w:val="20"/>
                  <w:u w:val="single"/>
                </w:rPr>
                <w:t>VA P</w:t>
              </w:r>
              <w:r>
                <w:rPr>
                  <w:noProof/>
                  <w:color w:val="0000FF"/>
                  <w:szCs w:val="20"/>
                  <w:u w:val="single"/>
                </w:rPr>
                <w:t>amphlet</w:t>
              </w:r>
              <w:r w:rsidRPr="00E37FDD">
                <w:rPr>
                  <w:noProof/>
                  <w:color w:val="0000FF"/>
                  <w:szCs w:val="20"/>
                  <w:u w:val="single"/>
                </w:rPr>
                <w:t xml:space="preserve"> 26-7, Chapter I, Section 16a</w:t>
              </w:r>
            </w:hyperlink>
            <w:r w:rsidRPr="00E37FDD">
              <w:rPr>
                <w:noProof/>
                <w:szCs w:val="20"/>
              </w:rPr>
              <w:t xml:space="preserve">, </w:t>
            </w:r>
            <w:r w:rsidRPr="00E37FDD">
              <w:rPr>
                <w:i/>
                <w:noProof/>
                <w:szCs w:val="20"/>
              </w:rPr>
              <w:t>Application Checklist for Authority to Close Loans on an Automatic Basis</w:t>
            </w:r>
            <w:r w:rsidRPr="00E37FDD">
              <w:rPr>
                <w:noProof/>
                <w:szCs w:val="20"/>
              </w:rPr>
              <w:t>.</w:t>
            </w:r>
          </w:p>
          <w:p w14:paraId="06FE5BFA" w14:textId="0A0BB4EC" w:rsidR="005E3BD3" w:rsidRDefault="005E3BD3" w:rsidP="005E3BD3">
            <w:pPr>
              <w:numPr>
                <w:ilvl w:val="0"/>
                <w:numId w:val="37"/>
              </w:numPr>
              <w:tabs>
                <w:tab w:val="left" w:pos="173"/>
              </w:tabs>
              <w:rPr>
                <w:noProof/>
                <w:szCs w:val="20"/>
              </w:rPr>
            </w:pPr>
            <w:r w:rsidRPr="00E37FDD">
              <w:rPr>
                <w:noProof/>
                <w:szCs w:val="20"/>
              </w:rPr>
              <w:t xml:space="preserve">The 10 most recent applications that were denied credit for a VA </w:t>
            </w:r>
            <w:r w:rsidR="003218A7">
              <w:rPr>
                <w:noProof/>
                <w:szCs w:val="20"/>
              </w:rPr>
              <w:t>h</w:t>
            </w:r>
            <w:r w:rsidRPr="00E37FDD">
              <w:rPr>
                <w:noProof/>
                <w:szCs w:val="20"/>
              </w:rPr>
              <w:t xml:space="preserve">ome </w:t>
            </w:r>
            <w:r w:rsidR="003218A7">
              <w:rPr>
                <w:noProof/>
                <w:szCs w:val="20"/>
              </w:rPr>
              <w:t>l</w:t>
            </w:r>
            <w:r w:rsidRPr="00E37FDD">
              <w:rPr>
                <w:noProof/>
                <w:szCs w:val="20"/>
              </w:rPr>
              <w:t>oan.</w:t>
            </w:r>
          </w:p>
          <w:p w14:paraId="3E1EA1D6" w14:textId="1BEF1813" w:rsidR="00A8178D" w:rsidRPr="006D44CF" w:rsidRDefault="00A8178D" w:rsidP="006D44CF">
            <w:pPr>
              <w:tabs>
                <w:tab w:val="left" w:pos="173"/>
              </w:tabs>
              <w:ind w:left="720"/>
              <w:rPr>
                <w:noProof/>
                <w:szCs w:val="20"/>
              </w:rPr>
            </w:pPr>
          </w:p>
        </w:tc>
      </w:tr>
      <w:tr w:rsidR="005E3BD3" w:rsidRPr="0089285D" w14:paraId="57DB1483" w14:textId="77777777" w:rsidTr="005E3BD3">
        <w:trPr>
          <w:trHeight w:val="829"/>
        </w:trPr>
        <w:tc>
          <w:tcPr>
            <w:tcW w:w="1728" w:type="dxa"/>
            <w:vMerge/>
            <w:shd w:val="clear" w:color="auto" w:fill="auto"/>
          </w:tcPr>
          <w:p w14:paraId="2D58BD27" w14:textId="77777777" w:rsidR="005E3BD3" w:rsidRDefault="005E3BD3" w:rsidP="002172E1">
            <w:pPr>
              <w:pStyle w:val="Heading5"/>
              <w:rPr>
                <w:sz w:val="20"/>
              </w:rPr>
            </w:pPr>
          </w:p>
        </w:tc>
        <w:tc>
          <w:tcPr>
            <w:tcW w:w="7772" w:type="dxa"/>
            <w:vMerge w:val="restart"/>
            <w:shd w:val="clear" w:color="auto" w:fill="auto"/>
          </w:tcPr>
          <w:p w14:paraId="405D56E3" w14:textId="4B69FC40" w:rsidR="005E3BD3" w:rsidRPr="00E37FDD" w:rsidRDefault="005E3BD3" w:rsidP="006D44CF">
            <w:pPr>
              <w:pBdr>
                <w:top w:val="single" w:sz="6" w:space="1" w:color="auto"/>
                <w:between w:val="single" w:sz="6" w:space="1" w:color="auto"/>
              </w:pBdr>
              <w:spacing w:before="240"/>
              <w:ind w:right="-166"/>
              <w:jc w:val="center"/>
              <w:rPr>
                <w:szCs w:val="20"/>
              </w:rPr>
            </w:pPr>
            <w:r>
              <w:rPr>
                <w:i/>
                <w:color w:val="auto"/>
                <w:sz w:val="20"/>
                <w:szCs w:val="20"/>
              </w:rPr>
              <w:t xml:space="preserve">                                                                                                 </w:t>
            </w:r>
            <w:r w:rsidR="00A8178D">
              <w:rPr>
                <w:i/>
                <w:color w:val="auto"/>
                <w:sz w:val="20"/>
                <w:szCs w:val="20"/>
              </w:rPr>
              <w:t xml:space="preserve">              </w:t>
            </w:r>
            <w:r>
              <w:rPr>
                <w:i/>
                <w:color w:val="auto"/>
                <w:sz w:val="20"/>
                <w:szCs w:val="20"/>
              </w:rPr>
              <w:t xml:space="preserve"> </w:t>
            </w:r>
            <w:r w:rsidRPr="005E3BD3">
              <w:rPr>
                <w:i/>
                <w:color w:val="auto"/>
                <w:sz w:val="20"/>
                <w:szCs w:val="20"/>
              </w:rPr>
              <w:t>Continued on next page</w:t>
            </w:r>
          </w:p>
        </w:tc>
      </w:tr>
      <w:tr w:rsidR="005E3BD3" w:rsidRPr="0089285D" w14:paraId="5DAADBF6" w14:textId="77777777" w:rsidTr="006D44CF">
        <w:trPr>
          <w:trHeight w:val="180"/>
        </w:trPr>
        <w:tc>
          <w:tcPr>
            <w:tcW w:w="1728" w:type="dxa"/>
            <w:shd w:val="clear" w:color="auto" w:fill="auto"/>
          </w:tcPr>
          <w:p w14:paraId="77356E28" w14:textId="77777777" w:rsidR="005E3BD3" w:rsidRDefault="005E3BD3" w:rsidP="002172E1">
            <w:pPr>
              <w:pStyle w:val="Heading5"/>
              <w:rPr>
                <w:sz w:val="20"/>
              </w:rPr>
            </w:pPr>
          </w:p>
        </w:tc>
        <w:tc>
          <w:tcPr>
            <w:tcW w:w="7772" w:type="dxa"/>
            <w:vMerge/>
            <w:shd w:val="clear" w:color="auto" w:fill="auto"/>
          </w:tcPr>
          <w:p w14:paraId="57CFE5AC" w14:textId="77777777" w:rsidR="005E3BD3" w:rsidRPr="005E3BD3" w:rsidRDefault="005E3BD3" w:rsidP="006D44CF">
            <w:pPr>
              <w:pBdr>
                <w:top w:val="single" w:sz="6" w:space="1" w:color="auto"/>
                <w:between w:val="single" w:sz="6" w:space="1" w:color="auto"/>
              </w:pBdr>
              <w:spacing w:before="240"/>
              <w:ind w:right="-166"/>
              <w:rPr>
                <w:i/>
                <w:color w:val="auto"/>
                <w:sz w:val="20"/>
                <w:szCs w:val="20"/>
              </w:rPr>
            </w:pPr>
          </w:p>
        </w:tc>
      </w:tr>
    </w:tbl>
    <w:p w14:paraId="5DD00C6E" w14:textId="4B82709E" w:rsidR="00ED1A92" w:rsidRDefault="00ED1A92">
      <w:pPr>
        <w:rPr>
          <w:b/>
        </w:rPr>
      </w:pPr>
      <w:bookmarkStart w:id="14" w:name="fs_a3ZZhAycII0OQUZ7oDIyFcA" w:colFirst="0" w:colLast="0"/>
      <w:bookmarkEnd w:id="13"/>
    </w:p>
    <w:p w14:paraId="36C13CAA" w14:textId="52B3251E" w:rsidR="00554B8F" w:rsidRDefault="00D76A62" w:rsidP="006D44CF">
      <w:pPr>
        <w:pStyle w:val="Heading4"/>
      </w:pPr>
      <w:bookmarkStart w:id="15" w:name="fs_YgmHyOZvEKi4vXlrShQ"/>
      <w:r w:rsidRPr="0089285D">
        <w:lastRenderedPageBreak/>
        <w:t>3.  Sampling</w:t>
      </w:r>
      <w:r>
        <w:t xml:space="preserve">, </w:t>
      </w:r>
      <w:r>
        <w:rPr>
          <w:b w:val="0"/>
          <w:sz w:val="24"/>
        </w:rPr>
        <w:t>Continued</w:t>
      </w:r>
      <w:bookmarkEnd w:id="15"/>
    </w:p>
    <w:tbl>
      <w:tblPr>
        <w:tblpPr w:leftFromText="180" w:rightFromText="180" w:vertAnchor="text" w:horzAnchor="margin" w:tblpX="54" w:tblpY="32"/>
        <w:tblW w:w="9391" w:type="dxa"/>
        <w:tblLayout w:type="fixed"/>
        <w:tblLook w:val="0000" w:firstRow="0" w:lastRow="0" w:firstColumn="0" w:lastColumn="0" w:noHBand="0" w:noVBand="0"/>
      </w:tblPr>
      <w:tblGrid>
        <w:gridCol w:w="1674"/>
        <w:gridCol w:w="7717"/>
      </w:tblGrid>
      <w:tr w:rsidR="005E3BD3" w14:paraId="392761EC" w14:textId="479552AA" w:rsidTr="006D44CF">
        <w:trPr>
          <w:trHeight w:val="276"/>
        </w:trPr>
        <w:tc>
          <w:tcPr>
            <w:tcW w:w="1674" w:type="dxa"/>
            <w:shd w:val="clear" w:color="auto" w:fill="auto"/>
          </w:tcPr>
          <w:p w14:paraId="618801C0" w14:textId="77777777" w:rsidR="005E3BD3" w:rsidRDefault="005E3BD3" w:rsidP="006D44CF">
            <w:pPr>
              <w:tabs>
                <w:tab w:val="left" w:pos="173"/>
              </w:tabs>
              <w:rPr>
                <w:b/>
                <w:sz w:val="22"/>
                <w:szCs w:val="22"/>
              </w:rPr>
            </w:pPr>
          </w:p>
          <w:p w14:paraId="0E3F585B" w14:textId="3298B0FB" w:rsidR="005E3BD3" w:rsidRPr="006D44CF" w:rsidRDefault="005E3BD3" w:rsidP="006D44CF">
            <w:pPr>
              <w:tabs>
                <w:tab w:val="left" w:pos="173"/>
              </w:tabs>
              <w:rPr>
                <w:b/>
                <w:noProof/>
                <w:sz w:val="22"/>
                <w:szCs w:val="22"/>
              </w:rPr>
            </w:pPr>
            <w:r w:rsidRPr="006D44CF">
              <w:rPr>
                <w:b/>
                <w:sz w:val="22"/>
                <w:szCs w:val="22"/>
              </w:rPr>
              <w:t>a. Lender Selection</w:t>
            </w:r>
            <w:r>
              <w:rPr>
                <w:b/>
                <w:sz w:val="22"/>
                <w:szCs w:val="22"/>
              </w:rPr>
              <w:t>, Continued</w:t>
            </w:r>
          </w:p>
        </w:tc>
        <w:tc>
          <w:tcPr>
            <w:tcW w:w="7717" w:type="dxa"/>
            <w:tcBorders>
              <w:top w:val="single" w:sz="4" w:space="0" w:color="auto"/>
              <w:bottom w:val="nil"/>
            </w:tcBorders>
            <w:shd w:val="clear" w:color="auto" w:fill="auto"/>
          </w:tcPr>
          <w:p w14:paraId="1C24A28C" w14:textId="77777777" w:rsidR="005E3BD3" w:rsidRDefault="005E3BD3" w:rsidP="006D44CF">
            <w:pPr>
              <w:tabs>
                <w:tab w:val="left" w:pos="173"/>
              </w:tabs>
              <w:rPr>
                <w:noProof/>
                <w:szCs w:val="20"/>
              </w:rPr>
            </w:pPr>
            <w:bookmarkStart w:id="16" w:name="fs_EEJ8z0wK02gY6DQxaEr6w" w:colFirst="0" w:colLast="0"/>
          </w:p>
          <w:p w14:paraId="2E26EC19" w14:textId="01F0CEEF" w:rsidR="005E3BD3" w:rsidRDefault="005E3BD3" w:rsidP="004026B7">
            <w:pPr>
              <w:numPr>
                <w:ilvl w:val="0"/>
                <w:numId w:val="37"/>
              </w:numPr>
              <w:tabs>
                <w:tab w:val="left" w:pos="173"/>
              </w:tabs>
              <w:rPr>
                <w:noProof/>
                <w:szCs w:val="20"/>
              </w:rPr>
            </w:pPr>
            <w:r w:rsidRPr="00E37FDD">
              <w:rPr>
                <w:noProof/>
                <w:szCs w:val="20"/>
              </w:rPr>
              <w:t xml:space="preserve">A list of all non-compliance loans. </w:t>
            </w:r>
          </w:p>
          <w:p w14:paraId="263C40C4" w14:textId="62F23ADC" w:rsidR="005E3BD3" w:rsidRPr="00E37FDD" w:rsidRDefault="002172E1" w:rsidP="004026B7">
            <w:pPr>
              <w:numPr>
                <w:ilvl w:val="0"/>
                <w:numId w:val="37"/>
              </w:numPr>
              <w:tabs>
                <w:tab w:val="left" w:pos="173"/>
              </w:tabs>
              <w:rPr>
                <w:noProof/>
                <w:szCs w:val="20"/>
              </w:rPr>
            </w:pPr>
            <w:r>
              <w:rPr>
                <w:noProof/>
                <w:szCs w:val="20"/>
              </w:rPr>
              <w:t>The l</w:t>
            </w:r>
            <w:r w:rsidR="005E3BD3" w:rsidRPr="00E37FDD">
              <w:rPr>
                <w:noProof/>
                <w:szCs w:val="20"/>
              </w:rPr>
              <w:t>ender’s Organizational Chart.</w:t>
            </w:r>
          </w:p>
          <w:p w14:paraId="286DA069" w14:textId="708D7631" w:rsidR="00BA30C6" w:rsidRPr="00E37FDD" w:rsidRDefault="005E3BD3" w:rsidP="004026B7">
            <w:pPr>
              <w:numPr>
                <w:ilvl w:val="0"/>
                <w:numId w:val="37"/>
              </w:numPr>
              <w:tabs>
                <w:tab w:val="left" w:pos="173"/>
              </w:tabs>
              <w:rPr>
                <w:noProof/>
                <w:szCs w:val="20"/>
              </w:rPr>
            </w:pPr>
            <w:r w:rsidRPr="00E37FDD">
              <w:rPr>
                <w:noProof/>
                <w:szCs w:val="20"/>
              </w:rPr>
              <w:t>A list of branch offices where VA origination</w:t>
            </w:r>
            <w:r>
              <w:rPr>
                <w:noProof/>
                <w:szCs w:val="20"/>
              </w:rPr>
              <w:t xml:space="preserve"> and</w:t>
            </w:r>
            <w:r w:rsidRPr="00E37FDD">
              <w:rPr>
                <w:noProof/>
                <w:szCs w:val="20"/>
              </w:rPr>
              <w:t xml:space="preserve"> servicing activities</w:t>
            </w:r>
            <w:r>
              <w:rPr>
                <w:noProof/>
                <w:szCs w:val="20"/>
              </w:rPr>
              <w:t xml:space="preserve"> are</w:t>
            </w:r>
            <w:r w:rsidRPr="00E37FDD">
              <w:rPr>
                <w:noProof/>
                <w:szCs w:val="20"/>
              </w:rPr>
              <w:t xml:space="preserve"> conducted.</w:t>
            </w:r>
            <w:r w:rsidR="00BA30C6" w:rsidRPr="00E37FDD">
              <w:rPr>
                <w:noProof/>
                <w:szCs w:val="20"/>
              </w:rPr>
              <w:t>A list of binding authorities for the organization.</w:t>
            </w:r>
          </w:p>
          <w:p w14:paraId="10AFA833" w14:textId="77777777" w:rsidR="00BA30C6" w:rsidRPr="00E37FDD" w:rsidRDefault="00BA30C6" w:rsidP="004026B7">
            <w:pPr>
              <w:numPr>
                <w:ilvl w:val="0"/>
                <w:numId w:val="37"/>
              </w:numPr>
              <w:tabs>
                <w:tab w:val="left" w:pos="173"/>
              </w:tabs>
              <w:rPr>
                <w:noProof/>
                <w:szCs w:val="20"/>
              </w:rPr>
            </w:pPr>
            <w:r w:rsidRPr="00E37FDD">
              <w:rPr>
                <w:noProof/>
                <w:szCs w:val="20"/>
              </w:rPr>
              <w:t xml:space="preserve">A list of approved </w:t>
            </w:r>
            <w:r>
              <w:rPr>
                <w:noProof/>
                <w:szCs w:val="20"/>
              </w:rPr>
              <w:t>a</w:t>
            </w:r>
            <w:r w:rsidRPr="00E37FDD">
              <w:rPr>
                <w:noProof/>
                <w:szCs w:val="20"/>
              </w:rPr>
              <w:t>utomatic underwriters and their signatures.</w:t>
            </w:r>
          </w:p>
          <w:p w14:paraId="3DD46E04" w14:textId="77777777" w:rsidR="00BA30C6" w:rsidRDefault="00BA30C6" w:rsidP="004026B7">
            <w:pPr>
              <w:tabs>
                <w:tab w:val="left" w:pos="173"/>
              </w:tabs>
              <w:ind w:left="360"/>
              <w:rPr>
                <w:sz w:val="20"/>
              </w:rPr>
            </w:pPr>
          </w:p>
          <w:p w14:paraId="198D5FDB" w14:textId="77777777" w:rsidR="00BA30C6" w:rsidRPr="00E37FDD" w:rsidRDefault="00BA30C6" w:rsidP="004026B7">
            <w:pPr>
              <w:tabs>
                <w:tab w:val="left" w:pos="173"/>
              </w:tabs>
              <w:rPr>
                <w:noProof/>
                <w:szCs w:val="20"/>
              </w:rPr>
            </w:pPr>
            <w:r w:rsidRPr="00E37FDD">
              <w:rPr>
                <w:szCs w:val="20"/>
              </w:rPr>
              <w:t>M</w:t>
            </w:r>
            <w:r>
              <w:rPr>
                <w:szCs w:val="20"/>
              </w:rPr>
              <w:t>onitoring Unit (MU)</w:t>
            </w:r>
            <w:r w:rsidRPr="00E37FDD">
              <w:rPr>
                <w:szCs w:val="20"/>
              </w:rPr>
              <w:t xml:space="preserve"> Chief </w:t>
            </w:r>
            <w:r w:rsidRPr="00E37FDD">
              <w:rPr>
                <w:noProof/>
                <w:szCs w:val="20"/>
              </w:rPr>
              <w:t>will access lender reports as follows:</w:t>
            </w:r>
          </w:p>
          <w:p w14:paraId="5FA30436" w14:textId="77777777" w:rsidR="00BA30C6" w:rsidRPr="00E37FDD" w:rsidRDefault="00BA30C6" w:rsidP="004026B7"/>
          <w:p w14:paraId="0BE5798A" w14:textId="77777777" w:rsidR="00BA30C6" w:rsidRPr="00E37FDD" w:rsidRDefault="00BA30C6" w:rsidP="004026B7">
            <w:pPr>
              <w:numPr>
                <w:ilvl w:val="0"/>
                <w:numId w:val="37"/>
              </w:numPr>
              <w:rPr>
                <w:szCs w:val="20"/>
              </w:rPr>
            </w:pPr>
            <w:r w:rsidRPr="00E37FDD">
              <w:rPr>
                <w:szCs w:val="20"/>
              </w:rPr>
              <w:t>The</w:t>
            </w:r>
            <w:r w:rsidRPr="00E37FDD">
              <w:rPr>
                <w:noProof/>
                <w:szCs w:val="20"/>
              </w:rPr>
              <w:t xml:space="preserve"> </w:t>
            </w:r>
            <w:r>
              <w:rPr>
                <w:noProof/>
                <w:szCs w:val="20"/>
              </w:rPr>
              <w:t xml:space="preserve">MU </w:t>
            </w:r>
            <w:r w:rsidRPr="00E37FDD">
              <w:rPr>
                <w:noProof/>
                <w:szCs w:val="20"/>
              </w:rPr>
              <w:t>Chief</w:t>
            </w:r>
            <w:r w:rsidRPr="00E37FDD" w:rsidDel="006A1FDD">
              <w:rPr>
                <w:szCs w:val="20"/>
              </w:rPr>
              <w:t xml:space="preserve"> </w:t>
            </w:r>
            <w:r w:rsidRPr="00E37FDD">
              <w:rPr>
                <w:szCs w:val="20"/>
              </w:rPr>
              <w:t xml:space="preserve">will access </w:t>
            </w:r>
            <w:r w:rsidRPr="00941DED">
              <w:rPr>
                <w:szCs w:val="20"/>
              </w:rPr>
              <w:t xml:space="preserve">Loan Guaranty Reports/MU Reports </w:t>
            </w:r>
            <w:r w:rsidRPr="00E37FDD">
              <w:rPr>
                <w:szCs w:val="20"/>
              </w:rPr>
              <w:t xml:space="preserve">from the </w:t>
            </w:r>
            <w:hyperlink r:id="rId14" w:history="1">
              <w:r w:rsidRPr="001B61CB">
                <w:rPr>
                  <w:rStyle w:val="Hyperlink"/>
                  <w:szCs w:val="20"/>
                </w:rPr>
                <w:t>Veteran’s Information Portal (VIP)</w:t>
              </w:r>
            </w:hyperlink>
            <w:r w:rsidRPr="00E37FDD">
              <w:rPr>
                <w:szCs w:val="20"/>
              </w:rPr>
              <w:t>, and run a current listing on all lenders most recent 24-month volume in excess of 200 loans.  Lenders are categorized by the MU as mega, large, medium, and small.  After considering lenders for audit from GPADS, the balance of lenders selected will come from the L</w:t>
            </w:r>
            <w:r>
              <w:rPr>
                <w:szCs w:val="20"/>
              </w:rPr>
              <w:t xml:space="preserve">oan Guaranty Reports/MU Reports </w:t>
            </w:r>
            <w:r w:rsidRPr="00E37FDD">
              <w:rPr>
                <w:szCs w:val="20"/>
              </w:rPr>
              <w:t>list of the most recent 24-month volume by lender.</w:t>
            </w:r>
          </w:p>
          <w:p w14:paraId="7D746883" w14:textId="77777777" w:rsidR="00BA30C6" w:rsidRPr="00E37FDD" w:rsidRDefault="00BA30C6" w:rsidP="004026B7">
            <w:pPr>
              <w:jc w:val="both"/>
              <w:rPr>
                <w:szCs w:val="20"/>
              </w:rPr>
            </w:pPr>
          </w:p>
          <w:p w14:paraId="75DA716F" w14:textId="77777777" w:rsidR="00BA30C6" w:rsidRPr="00E37FDD" w:rsidRDefault="00BA30C6" w:rsidP="004026B7">
            <w:pPr>
              <w:jc w:val="both"/>
              <w:rPr>
                <w:szCs w:val="20"/>
              </w:rPr>
            </w:pPr>
            <w:r w:rsidRPr="00E37FDD">
              <w:rPr>
                <w:szCs w:val="20"/>
              </w:rPr>
              <w:t xml:space="preserve">The MU will audit lenders based on the following: </w:t>
            </w:r>
          </w:p>
          <w:p w14:paraId="583E954D" w14:textId="77777777" w:rsidR="00BA30C6" w:rsidRPr="00E37FDD" w:rsidRDefault="00BA30C6" w:rsidP="004026B7">
            <w:pPr>
              <w:ind w:left="720"/>
              <w:contextualSpacing/>
            </w:pPr>
          </w:p>
          <w:p w14:paraId="310B218B" w14:textId="77777777" w:rsidR="00A8178D" w:rsidRDefault="00BA30C6" w:rsidP="004026B7">
            <w:pPr>
              <w:numPr>
                <w:ilvl w:val="0"/>
                <w:numId w:val="40"/>
              </w:numPr>
              <w:rPr>
                <w:szCs w:val="20"/>
              </w:rPr>
            </w:pPr>
            <w:r w:rsidRPr="00E37FDD">
              <w:rPr>
                <w:szCs w:val="20"/>
              </w:rPr>
              <w:t>Mega lenders are generally audited every other year because of VA’s increased risk exposure based solely on their high volume of loans originated.</w:t>
            </w:r>
          </w:p>
          <w:p w14:paraId="73F28D0D" w14:textId="3DA3DC9F" w:rsidR="00BA30C6" w:rsidRPr="00E37FDD" w:rsidRDefault="00BA30C6" w:rsidP="004026B7">
            <w:pPr>
              <w:numPr>
                <w:ilvl w:val="0"/>
                <w:numId w:val="40"/>
              </w:numPr>
              <w:rPr>
                <w:szCs w:val="20"/>
              </w:rPr>
            </w:pPr>
            <w:r w:rsidRPr="00E37FDD">
              <w:rPr>
                <w:szCs w:val="20"/>
              </w:rPr>
              <w:t xml:space="preserve">Large lenders are generally audited every </w:t>
            </w:r>
            <w:r w:rsidR="003218A7">
              <w:rPr>
                <w:szCs w:val="20"/>
              </w:rPr>
              <w:t>3</w:t>
            </w:r>
            <w:r w:rsidRPr="00E37FDD">
              <w:rPr>
                <w:szCs w:val="20"/>
              </w:rPr>
              <w:t xml:space="preserve"> years.</w:t>
            </w:r>
          </w:p>
          <w:p w14:paraId="3B1A2302" w14:textId="77777777" w:rsidR="00BA30C6" w:rsidRPr="00E37FDD" w:rsidRDefault="00BA30C6" w:rsidP="004026B7">
            <w:pPr>
              <w:numPr>
                <w:ilvl w:val="0"/>
                <w:numId w:val="40"/>
              </w:numPr>
              <w:rPr>
                <w:szCs w:val="20"/>
              </w:rPr>
            </w:pPr>
            <w:r w:rsidRPr="00E37FDD">
              <w:rPr>
                <w:szCs w:val="20"/>
              </w:rPr>
              <w:t>Medium lenders are audited every 4-5 years based on volume and performance on past audits.</w:t>
            </w:r>
          </w:p>
          <w:p w14:paraId="74BDE428" w14:textId="77777777" w:rsidR="00BA30C6" w:rsidRDefault="00BA30C6" w:rsidP="004026B7">
            <w:pPr>
              <w:numPr>
                <w:ilvl w:val="0"/>
                <w:numId w:val="40"/>
              </w:numPr>
              <w:rPr>
                <w:szCs w:val="20"/>
              </w:rPr>
            </w:pPr>
            <w:r w:rsidRPr="00E37FDD">
              <w:rPr>
                <w:szCs w:val="20"/>
              </w:rPr>
              <w:t>Large numbers of egregious loans or major deficiencies by any lender on a previous audit may warrant a lender to undergo annual audits until a marked improvement in underwriting is shown.</w:t>
            </w:r>
          </w:p>
          <w:p w14:paraId="33E6C9F8" w14:textId="77777777" w:rsidR="00BA30C6" w:rsidRPr="00EA1949" w:rsidRDefault="00BA30C6" w:rsidP="004026B7">
            <w:pPr>
              <w:numPr>
                <w:ilvl w:val="0"/>
                <w:numId w:val="40"/>
              </w:numPr>
              <w:rPr>
                <w:szCs w:val="20"/>
              </w:rPr>
            </w:pPr>
            <w:r w:rsidRPr="00EA1949">
              <w:rPr>
                <w:szCs w:val="20"/>
              </w:rPr>
              <w:t>Audits are conducted on-site (at the lender’s office)</w:t>
            </w:r>
            <w:r>
              <w:rPr>
                <w:szCs w:val="20"/>
              </w:rPr>
              <w:t xml:space="preserve"> and the number of loans audited is</w:t>
            </w:r>
            <w:r w:rsidRPr="00EA1949">
              <w:rPr>
                <w:szCs w:val="20"/>
              </w:rPr>
              <w:t xml:space="preserve"> based on the number of reviewers conducting the audit.</w:t>
            </w:r>
          </w:p>
          <w:p w14:paraId="28BB6BE8" w14:textId="0582B40C" w:rsidR="00D6428A" w:rsidRDefault="00D6428A" w:rsidP="006D44CF">
            <w:pPr>
              <w:pStyle w:val="BlockText"/>
            </w:pPr>
          </w:p>
        </w:tc>
      </w:tr>
    </w:tbl>
    <w:bookmarkEnd w:id="16"/>
    <w:p w14:paraId="2524F9B2" w14:textId="01F4F8BA" w:rsidR="00112B06" w:rsidRDefault="004026B7" w:rsidP="006D44CF">
      <w:pPr>
        <w:pStyle w:val="BlockLine"/>
        <w:spacing w:beforeLines="40" w:before="96"/>
      </w:pPr>
      <w:r>
        <w:rPr>
          <w:i/>
          <w:color w:val="auto"/>
          <w:sz w:val="20"/>
        </w:rPr>
        <w:t xml:space="preserve">                                                                                                                  </w:t>
      </w:r>
      <w:r w:rsidRPr="005E3BD3">
        <w:rPr>
          <w:i/>
          <w:color w:val="auto"/>
          <w:sz w:val="20"/>
        </w:rPr>
        <w:t>Continued on next page</w:t>
      </w:r>
    </w:p>
    <w:p w14:paraId="2ADE2056" w14:textId="77777777" w:rsidR="00112B06" w:rsidRDefault="00112B06" w:rsidP="006D44CF">
      <w:pPr>
        <w:spacing w:beforeLines="40" w:before="96" w:after="200" w:line="276" w:lineRule="auto"/>
        <w:rPr>
          <w:szCs w:val="20"/>
        </w:rPr>
      </w:pPr>
      <w:r>
        <w:br w:type="page"/>
      </w:r>
    </w:p>
    <w:p w14:paraId="0E0F1FE8" w14:textId="77777777" w:rsidR="00112B06" w:rsidRDefault="00112B06" w:rsidP="00112B06">
      <w:pPr>
        <w:pStyle w:val="Heading4"/>
        <w:rPr>
          <w:b w:val="0"/>
          <w:sz w:val="24"/>
        </w:rPr>
      </w:pPr>
      <w:bookmarkStart w:id="17" w:name="fs_z9WoJx05Zk25ihEHqdFHSw"/>
      <w:r w:rsidRPr="0089285D">
        <w:lastRenderedPageBreak/>
        <w:t>3.  Sampling</w:t>
      </w:r>
      <w:r>
        <w:t xml:space="preserve">, </w:t>
      </w:r>
      <w:r>
        <w:rPr>
          <w:b w:val="0"/>
          <w:sz w:val="24"/>
        </w:rPr>
        <w:t>Continued</w:t>
      </w:r>
    </w:p>
    <w:bookmarkEnd w:id="17"/>
    <w:p w14:paraId="168BD8D0" w14:textId="77777777" w:rsidR="00112B06" w:rsidRDefault="00112B06" w:rsidP="00112B06">
      <w:pPr>
        <w:pStyle w:val="BlockLine"/>
      </w:pPr>
    </w:p>
    <w:tbl>
      <w:tblPr>
        <w:tblW w:w="9500" w:type="dxa"/>
        <w:tblLayout w:type="fixed"/>
        <w:tblLook w:val="0000" w:firstRow="0" w:lastRow="0" w:firstColumn="0" w:lastColumn="0" w:noHBand="0" w:noVBand="0"/>
      </w:tblPr>
      <w:tblGrid>
        <w:gridCol w:w="1728"/>
        <w:gridCol w:w="7772"/>
      </w:tblGrid>
      <w:tr w:rsidR="0089285D" w:rsidRPr="0089285D" w14:paraId="3E1EA1E1" w14:textId="77777777" w:rsidTr="006D44CF">
        <w:trPr>
          <w:trHeight w:val="4743"/>
        </w:trPr>
        <w:tc>
          <w:tcPr>
            <w:tcW w:w="1728" w:type="dxa"/>
            <w:shd w:val="clear" w:color="auto" w:fill="auto"/>
          </w:tcPr>
          <w:p w14:paraId="3E1EA1D9" w14:textId="399D2CE4" w:rsidR="0089285D" w:rsidRPr="0089285D" w:rsidRDefault="0089285D" w:rsidP="0089285D">
            <w:pPr>
              <w:pStyle w:val="Heading5"/>
            </w:pPr>
            <w:bookmarkStart w:id="18" w:name="fs_NLzzMSDW0m1WOpraHc3w" w:colFirst="0" w:colLast="0"/>
            <w:r w:rsidRPr="0089285D">
              <w:t>b. Servicer Selection</w:t>
            </w:r>
          </w:p>
        </w:tc>
        <w:tc>
          <w:tcPr>
            <w:tcW w:w="7772" w:type="dxa"/>
            <w:shd w:val="clear" w:color="auto" w:fill="auto"/>
          </w:tcPr>
          <w:p w14:paraId="7D54ED3A" w14:textId="3E1DD01E" w:rsidR="00ED1A92" w:rsidRDefault="00ED1A92" w:rsidP="00ED1A92">
            <w:pPr>
              <w:pStyle w:val="BulletText3"/>
              <w:numPr>
                <w:ilvl w:val="0"/>
                <w:numId w:val="0"/>
              </w:numPr>
            </w:pPr>
            <w:r>
              <w:t>The MU Chief selects servicers for audits as follows:</w:t>
            </w:r>
          </w:p>
          <w:p w14:paraId="18C5E717" w14:textId="77777777" w:rsidR="00ED1A92" w:rsidRDefault="00ED1A92" w:rsidP="00ED1A92">
            <w:pPr>
              <w:pStyle w:val="BulletText3"/>
              <w:numPr>
                <w:ilvl w:val="0"/>
                <w:numId w:val="0"/>
              </w:numPr>
            </w:pPr>
          </w:p>
          <w:p w14:paraId="3E1EA1DA" w14:textId="364F8916" w:rsidR="0089285D" w:rsidRPr="0089285D" w:rsidRDefault="0089285D" w:rsidP="00EF4104">
            <w:pPr>
              <w:pStyle w:val="BulletText3"/>
              <w:numPr>
                <w:ilvl w:val="0"/>
                <w:numId w:val="41"/>
              </w:numPr>
            </w:pPr>
            <w:r w:rsidRPr="0089285D">
              <w:t xml:space="preserve">Selection of servicer audits is made by the Chief, </w:t>
            </w:r>
            <w:r w:rsidR="006621E4">
              <w:t>Monitoring Unit</w:t>
            </w:r>
            <w:r w:rsidRPr="0089285D">
              <w:t xml:space="preserve"> and/or Loan Administration Policy.  Generally</w:t>
            </w:r>
            <w:r w:rsidR="00EA1949">
              <w:t xml:space="preserve">, </w:t>
            </w:r>
            <w:r w:rsidRPr="0089285D">
              <w:t xml:space="preserve">servicers with a large number of defaults are selected for audit.  Servicers referred by the RLC(s), OIG, or other governmental agencies and nongovernmental agencies identifying specific problems are also selected for audit.  Additionally, servicers are selected if a previous audit disclosed serious deficiencies that justify a follow-up visit. </w:t>
            </w:r>
          </w:p>
          <w:p w14:paraId="3E1EA1DC" w14:textId="663C65F6" w:rsidR="0089285D" w:rsidRDefault="0089285D" w:rsidP="00EF4104">
            <w:pPr>
              <w:pStyle w:val="BulletText3"/>
              <w:numPr>
                <w:ilvl w:val="0"/>
                <w:numId w:val="41"/>
              </w:numPr>
            </w:pPr>
            <w:r w:rsidRPr="0089285D">
              <w:t>Loans identified as delinquent 30</w:t>
            </w:r>
            <w:r w:rsidR="006F55CE">
              <w:t>-</w:t>
            </w:r>
            <w:r w:rsidR="00405BFD">
              <w:t xml:space="preserve">business </w:t>
            </w:r>
            <w:r w:rsidRPr="0089285D">
              <w:t>days or more will be selected for audit.  Loans are randomly selected from VA Loan Electronic Reporting Interface (VALERI).  There are three categories of cases that are audited:</w:t>
            </w:r>
          </w:p>
          <w:p w14:paraId="3E1EA1DE" w14:textId="1A7F6B7F" w:rsidR="0089285D" w:rsidRPr="0089285D" w:rsidRDefault="0089285D" w:rsidP="006D44CF">
            <w:pPr>
              <w:pStyle w:val="BlockText"/>
              <w:numPr>
                <w:ilvl w:val="0"/>
                <w:numId w:val="49"/>
              </w:numPr>
            </w:pPr>
            <w:r w:rsidRPr="0089285D">
              <w:t>Loss Mitigation Retention</w:t>
            </w:r>
          </w:p>
          <w:p w14:paraId="3E1EA1DF" w14:textId="63402AA2" w:rsidR="0089285D" w:rsidRPr="0089285D" w:rsidRDefault="0089285D" w:rsidP="006D44CF">
            <w:pPr>
              <w:pStyle w:val="BlockText"/>
              <w:numPr>
                <w:ilvl w:val="0"/>
                <w:numId w:val="49"/>
              </w:numPr>
            </w:pPr>
            <w:r w:rsidRPr="0089285D">
              <w:t>Loss Mitigation Foreclosure Alternative</w:t>
            </w:r>
          </w:p>
          <w:p w14:paraId="3E1EA1E0" w14:textId="1EC69AF4" w:rsidR="00ED1A92" w:rsidRPr="0089285D" w:rsidRDefault="0089285D" w:rsidP="006D44CF">
            <w:pPr>
              <w:pStyle w:val="BlockText"/>
              <w:numPr>
                <w:ilvl w:val="0"/>
                <w:numId w:val="49"/>
              </w:numPr>
            </w:pPr>
            <w:r w:rsidRPr="0089285D">
              <w:t>Foreclosure</w:t>
            </w:r>
          </w:p>
        </w:tc>
      </w:tr>
    </w:tbl>
    <w:p w14:paraId="6715315D" w14:textId="1B50BEC9" w:rsidR="00B8507F" w:rsidRDefault="00B8507F" w:rsidP="006D44CF">
      <w:pPr>
        <w:pStyle w:val="BlockLine"/>
        <w:pBdr>
          <w:top w:val="single" w:sz="6" w:space="0" w:color="000000"/>
        </w:pBdr>
      </w:pPr>
      <w:bookmarkStart w:id="19" w:name="fs_xOjEN6xc90yVg07gx8fHzw"/>
      <w:bookmarkEnd w:id="14"/>
      <w:bookmarkEnd w:id="18"/>
    </w:p>
    <w:p w14:paraId="27DD8E6C" w14:textId="77777777" w:rsidR="00B8507F" w:rsidRDefault="00B8507F">
      <w:pPr>
        <w:spacing w:after="200" w:line="276" w:lineRule="auto"/>
        <w:rPr>
          <w:szCs w:val="20"/>
        </w:rPr>
      </w:pPr>
      <w:r>
        <w:br w:type="page"/>
      </w:r>
    </w:p>
    <w:p w14:paraId="3E1EA1E6" w14:textId="77777777" w:rsidR="002F0F70" w:rsidRPr="002F0F70" w:rsidRDefault="002F0F70" w:rsidP="00ED1A92">
      <w:pPr>
        <w:pStyle w:val="Heading4"/>
      </w:pPr>
      <w:bookmarkStart w:id="20" w:name="fs_qFR7W4dcPEeG30WN0rAllQ"/>
      <w:r w:rsidRPr="002F0F70">
        <w:lastRenderedPageBreak/>
        <w:t>4.  Application of Quality Criteria</w:t>
      </w:r>
    </w:p>
    <w:bookmarkEnd w:id="19"/>
    <w:bookmarkEnd w:id="20"/>
    <w:p w14:paraId="3E1EA1E7" w14:textId="77777777" w:rsidR="0089285D" w:rsidRDefault="0089285D" w:rsidP="0089285D">
      <w:pPr>
        <w:pStyle w:val="BlockLine"/>
      </w:pPr>
    </w:p>
    <w:tbl>
      <w:tblPr>
        <w:tblW w:w="0" w:type="auto"/>
        <w:tblLayout w:type="fixed"/>
        <w:tblLook w:val="0000" w:firstRow="0" w:lastRow="0" w:firstColumn="0" w:lastColumn="0" w:noHBand="0" w:noVBand="0"/>
      </w:tblPr>
      <w:tblGrid>
        <w:gridCol w:w="1728"/>
        <w:gridCol w:w="7740"/>
      </w:tblGrid>
      <w:tr w:rsidR="00B8507F" w:rsidRPr="00394D58" w14:paraId="4F375E3C" w14:textId="77777777" w:rsidTr="002172E1">
        <w:tc>
          <w:tcPr>
            <w:tcW w:w="1728" w:type="dxa"/>
            <w:shd w:val="clear" w:color="auto" w:fill="auto"/>
          </w:tcPr>
          <w:p w14:paraId="086239E9" w14:textId="77777777" w:rsidR="00B8507F" w:rsidRPr="00394D58" w:rsidRDefault="00B8507F" w:rsidP="002172E1">
            <w:pPr>
              <w:pStyle w:val="Heading5"/>
            </w:pPr>
            <w:bookmarkStart w:id="21" w:name="fs_uqN467Q3Nk27ic4PKVWDyQ" w:colFirst="0" w:colLast="0"/>
            <w:r>
              <w:t>Change Date</w:t>
            </w:r>
          </w:p>
        </w:tc>
        <w:tc>
          <w:tcPr>
            <w:tcW w:w="7740" w:type="dxa"/>
            <w:shd w:val="clear" w:color="auto" w:fill="auto"/>
          </w:tcPr>
          <w:p w14:paraId="3B545D63" w14:textId="3FD7FA68" w:rsidR="00B8507F" w:rsidRDefault="00207833" w:rsidP="002172E1">
            <w:pPr>
              <w:pStyle w:val="BlockText"/>
            </w:pPr>
            <w:r>
              <w:t>January 25, 2016</w:t>
            </w:r>
            <w:r w:rsidR="00B8507F">
              <w:t>, Change 1</w:t>
            </w:r>
          </w:p>
          <w:p w14:paraId="2E8F6C38" w14:textId="77777777" w:rsidR="00B8507F" w:rsidRPr="00394D58" w:rsidRDefault="00B8507F" w:rsidP="006D44CF">
            <w:pPr>
              <w:pStyle w:val="BulletText1"/>
              <w:tabs>
                <w:tab w:val="clear" w:pos="173"/>
              </w:tabs>
              <w:ind w:left="342" w:hanging="342"/>
            </w:pPr>
            <w:r>
              <w:t>This entire section has been updated.</w:t>
            </w:r>
          </w:p>
        </w:tc>
      </w:tr>
      <w:bookmarkEnd w:id="21"/>
    </w:tbl>
    <w:p w14:paraId="79AD92B5" w14:textId="77777777" w:rsidR="00B8507F" w:rsidRDefault="00B8507F" w:rsidP="00B8507F">
      <w:pPr>
        <w:pStyle w:val="BlockLine"/>
      </w:pPr>
    </w:p>
    <w:tbl>
      <w:tblPr>
        <w:tblW w:w="9500" w:type="dxa"/>
        <w:tblLayout w:type="fixed"/>
        <w:tblLook w:val="0000" w:firstRow="0" w:lastRow="0" w:firstColumn="0" w:lastColumn="0" w:noHBand="0" w:noVBand="0"/>
      </w:tblPr>
      <w:tblGrid>
        <w:gridCol w:w="1728"/>
        <w:gridCol w:w="7772"/>
      </w:tblGrid>
      <w:tr w:rsidR="00B802ED" w:rsidRPr="0089285D" w14:paraId="3E1EA226" w14:textId="77777777" w:rsidTr="006D44CF">
        <w:trPr>
          <w:trHeight w:val="10017"/>
        </w:trPr>
        <w:tc>
          <w:tcPr>
            <w:tcW w:w="1728" w:type="dxa"/>
            <w:vMerge w:val="restart"/>
            <w:shd w:val="clear" w:color="auto" w:fill="auto"/>
          </w:tcPr>
          <w:p w14:paraId="3E1EA1E8" w14:textId="77777777" w:rsidR="00B802ED" w:rsidRPr="0089285D" w:rsidRDefault="00B802ED" w:rsidP="002172E1">
            <w:pPr>
              <w:pStyle w:val="Heading5"/>
            </w:pPr>
            <w:bookmarkStart w:id="22" w:name="fs_vVWaBBMC0y6QQJ1Xp8iQ" w:colFirst="0" w:colLast="0"/>
            <w:r w:rsidRPr="0089285D">
              <w:t>a. Lender Audits</w:t>
            </w:r>
          </w:p>
        </w:tc>
        <w:tc>
          <w:tcPr>
            <w:tcW w:w="7772" w:type="dxa"/>
            <w:tcBorders>
              <w:bottom w:val="single" w:sz="4" w:space="0" w:color="auto"/>
            </w:tcBorders>
            <w:shd w:val="clear" w:color="auto" w:fill="auto"/>
          </w:tcPr>
          <w:p w14:paraId="3E1EA1E9" w14:textId="77777777" w:rsidR="00B802ED" w:rsidRDefault="00B802ED" w:rsidP="0089285D">
            <w:pPr>
              <w:pStyle w:val="BlockText"/>
            </w:pPr>
            <w:r>
              <w:t>The application of the quality criteria for a lender audit is as follows:</w:t>
            </w:r>
          </w:p>
          <w:p w14:paraId="0E0210D4" w14:textId="77777777" w:rsidR="00B802ED" w:rsidRPr="0089285D" w:rsidRDefault="00B802ED" w:rsidP="0089285D">
            <w:pPr>
              <w:pStyle w:val="BlockText"/>
            </w:pPr>
          </w:p>
          <w:p w14:paraId="3E1EA1EA" w14:textId="0A9F227E" w:rsidR="00B802ED" w:rsidRPr="0089285D" w:rsidRDefault="00B802ED" w:rsidP="00EF4104">
            <w:pPr>
              <w:pStyle w:val="BulletText3"/>
              <w:numPr>
                <w:ilvl w:val="0"/>
                <w:numId w:val="42"/>
              </w:numPr>
            </w:pPr>
            <w:r w:rsidRPr="0089285D">
              <w:t xml:space="preserve">The evaluation of the quality of </w:t>
            </w:r>
            <w:r w:rsidR="002172E1">
              <w:t>l</w:t>
            </w:r>
            <w:r>
              <w:t xml:space="preserve">ender or </w:t>
            </w:r>
            <w:r w:rsidR="002172E1">
              <w:t>s</w:t>
            </w:r>
            <w:r>
              <w:t>ervicer</w:t>
            </w:r>
            <w:r w:rsidRPr="0089285D">
              <w:t xml:space="preserve"> audit reviews is based </w:t>
            </w:r>
            <w:r w:rsidRPr="006D44CF">
              <w:rPr>
                <w:color w:val="000000" w:themeColor="text1"/>
              </w:rPr>
              <w:t>on compliance with existing laws, regulations, directives, and the MU Standard Operating Procedures (SOP).</w:t>
            </w:r>
          </w:p>
          <w:p w14:paraId="3E1EA1EC" w14:textId="15FAED74" w:rsidR="00B802ED" w:rsidRPr="0089285D" w:rsidRDefault="00B802ED" w:rsidP="00EF4104">
            <w:pPr>
              <w:pStyle w:val="BulletText3"/>
              <w:numPr>
                <w:ilvl w:val="0"/>
                <w:numId w:val="42"/>
              </w:numPr>
            </w:pPr>
            <w:r w:rsidRPr="0089285D">
              <w:t xml:space="preserve">Reviewers will refer to all reference material that enables them to determine whether the lender is </w:t>
            </w:r>
            <w:r>
              <w:t>in compliance</w:t>
            </w:r>
            <w:r w:rsidRPr="0089285D">
              <w:t xml:space="preserve"> with VA regulations.</w:t>
            </w:r>
          </w:p>
          <w:p w14:paraId="3E1EA1EE" w14:textId="44A2B8BF" w:rsidR="00B802ED" w:rsidRPr="0089285D" w:rsidRDefault="00B802ED" w:rsidP="00EF4104">
            <w:pPr>
              <w:pStyle w:val="BulletText3"/>
              <w:numPr>
                <w:ilvl w:val="0"/>
                <w:numId w:val="42"/>
              </w:numPr>
            </w:pPr>
            <w:r w:rsidRPr="0089285D">
              <w:t xml:space="preserve">This </w:t>
            </w:r>
            <w:r>
              <w:t xml:space="preserve">reference </w:t>
            </w:r>
            <w:r w:rsidRPr="0089285D">
              <w:t>material may include</w:t>
            </w:r>
            <w:r w:rsidR="003218A7">
              <w:t>,</w:t>
            </w:r>
            <w:r w:rsidRPr="0089285D">
              <w:t xml:space="preserve"> but is not limited </w:t>
            </w:r>
            <w:r>
              <w:t>to:</w:t>
            </w:r>
          </w:p>
          <w:p w14:paraId="54696152" w14:textId="760661C9" w:rsidR="00B802ED" w:rsidRPr="0089285D" w:rsidRDefault="00B802ED" w:rsidP="00E26A30">
            <w:pPr>
              <w:pStyle w:val="BulletText3"/>
              <w:numPr>
                <w:ilvl w:val="1"/>
                <w:numId w:val="42"/>
              </w:numPr>
            </w:pPr>
            <w:r>
              <w:t>Part</w:t>
            </w:r>
            <w:r w:rsidRPr="0089285D">
              <w:t xml:space="preserve"> of </w:t>
            </w:r>
            <w:r>
              <w:t>any re</w:t>
            </w:r>
            <w:r w:rsidRPr="0089285D">
              <w:t>gulation</w:t>
            </w:r>
            <w:r>
              <w:t xml:space="preserve"> applicable to VA</w:t>
            </w:r>
          </w:p>
          <w:p w14:paraId="1FC49E52" w14:textId="2F2B15C2" w:rsidR="00B802ED" w:rsidRPr="0089285D" w:rsidRDefault="00207833" w:rsidP="00E26A30">
            <w:pPr>
              <w:pStyle w:val="BulletText3"/>
              <w:numPr>
                <w:ilvl w:val="1"/>
                <w:numId w:val="42"/>
              </w:numPr>
            </w:pPr>
            <w:hyperlink r:id="rId15" w:history="1">
              <w:r w:rsidR="00B802ED" w:rsidRPr="00B552B4">
                <w:rPr>
                  <w:rStyle w:val="Hyperlink"/>
                </w:rPr>
                <w:t>Chapter 37, and §5303A, title 38 U.S.C.; 38 CFR §36.4300-4393</w:t>
              </w:r>
            </w:hyperlink>
          </w:p>
          <w:p w14:paraId="52D300AE" w14:textId="7501572C" w:rsidR="00B802ED" w:rsidRPr="0089285D" w:rsidRDefault="00207833" w:rsidP="00E26A30">
            <w:pPr>
              <w:pStyle w:val="BulletText3"/>
              <w:numPr>
                <w:ilvl w:val="1"/>
                <w:numId w:val="42"/>
              </w:numPr>
            </w:pPr>
            <w:hyperlink r:id="rId16" w:history="1">
              <w:r w:rsidR="00B802ED" w:rsidRPr="00ED1A92">
                <w:rPr>
                  <w:rStyle w:val="Hyperlink"/>
                </w:rPr>
                <w:t>VA Pamphlet 26-7, VA Lenders Handbook</w:t>
              </w:r>
            </w:hyperlink>
          </w:p>
          <w:p w14:paraId="6C3015A7" w14:textId="03730645" w:rsidR="00B802ED" w:rsidRDefault="00B802ED">
            <w:pPr>
              <w:pStyle w:val="BulletText3"/>
              <w:numPr>
                <w:ilvl w:val="1"/>
                <w:numId w:val="42"/>
              </w:numPr>
              <w:tabs>
                <w:tab w:val="left" w:pos="355"/>
              </w:tabs>
            </w:pPr>
            <w:r w:rsidRPr="0089285D">
              <w:t xml:space="preserve">Copies of all </w:t>
            </w:r>
            <w:r>
              <w:t xml:space="preserve">active </w:t>
            </w:r>
            <w:r w:rsidR="003218A7">
              <w:t>C</w:t>
            </w:r>
            <w:r w:rsidRPr="0089285D">
              <w:t xml:space="preserve">irculars </w:t>
            </w:r>
            <w:r w:rsidR="003218A7">
              <w:t xml:space="preserve">that are </w:t>
            </w:r>
            <w:r w:rsidRPr="0089285D">
              <w:t>not</w:t>
            </w:r>
            <w:r>
              <w:t xml:space="preserve"> currently</w:t>
            </w:r>
            <w:r w:rsidRPr="0089285D">
              <w:t xml:space="preserve"> </w:t>
            </w:r>
            <w:r>
              <w:t xml:space="preserve">incorporated in the </w:t>
            </w:r>
            <w:r w:rsidRPr="0089285D">
              <w:t xml:space="preserve"> Lenders</w:t>
            </w:r>
            <w:r>
              <w:t xml:space="preserve"> Ha</w:t>
            </w:r>
            <w:r w:rsidRPr="0089285D">
              <w:t>ndbook</w:t>
            </w:r>
          </w:p>
          <w:p w14:paraId="062EF315" w14:textId="77777777" w:rsidR="00B802ED" w:rsidRDefault="00B802ED" w:rsidP="00FD52DD">
            <w:pPr>
              <w:pStyle w:val="BulletText3"/>
              <w:numPr>
                <w:ilvl w:val="0"/>
                <w:numId w:val="0"/>
              </w:numPr>
            </w:pPr>
          </w:p>
          <w:p w14:paraId="0BBB9ECF" w14:textId="18071E25" w:rsidR="00B802ED" w:rsidRPr="0089285D" w:rsidRDefault="00B802ED" w:rsidP="00FD52DD">
            <w:pPr>
              <w:pStyle w:val="BulletText3"/>
              <w:numPr>
                <w:ilvl w:val="0"/>
                <w:numId w:val="0"/>
              </w:numPr>
            </w:pPr>
            <w:r w:rsidRPr="00FD52DD">
              <w:t>Each loan file is reviewed for the following</w:t>
            </w:r>
            <w:r>
              <w:t>,</w:t>
            </w:r>
            <w:r w:rsidRPr="00FD52DD">
              <w:t xml:space="preserve"> including other indications that the loan or property does not conform to the law, regulation, procedure or policy:</w:t>
            </w:r>
          </w:p>
          <w:p w14:paraId="4792A16A" w14:textId="25BB908F" w:rsidR="00B802ED" w:rsidRPr="0089285D" w:rsidRDefault="00B802ED" w:rsidP="004C0CDD">
            <w:pPr>
              <w:pStyle w:val="BulletText3"/>
              <w:numPr>
                <w:ilvl w:val="0"/>
                <w:numId w:val="0"/>
              </w:numPr>
              <w:ind w:left="343"/>
            </w:pPr>
          </w:p>
          <w:p w14:paraId="3E1EA1F8" w14:textId="49FF037A" w:rsidR="00B802ED" w:rsidRPr="0089285D" w:rsidRDefault="00B802ED" w:rsidP="00EF4104">
            <w:pPr>
              <w:pStyle w:val="BulletText3"/>
              <w:numPr>
                <w:ilvl w:val="0"/>
                <w:numId w:val="43"/>
              </w:numPr>
            </w:pPr>
            <w:r w:rsidRPr="0089285D">
              <w:t>Income used is properly documented, accurately calculated, and sufficient for the loan</w:t>
            </w:r>
          </w:p>
          <w:p w14:paraId="3E1EA1F9" w14:textId="123973FB" w:rsidR="00B802ED" w:rsidRPr="0089285D" w:rsidRDefault="00B802ED" w:rsidP="00EF4104">
            <w:pPr>
              <w:pStyle w:val="BulletText3"/>
              <w:numPr>
                <w:ilvl w:val="0"/>
                <w:numId w:val="43"/>
              </w:numPr>
            </w:pPr>
            <w:r>
              <w:t>2</w:t>
            </w:r>
            <w:r w:rsidR="00DA1DF0">
              <w:t>-</w:t>
            </w:r>
            <w:r w:rsidRPr="0089285D">
              <w:t>year employment history documented</w:t>
            </w:r>
          </w:p>
          <w:p w14:paraId="3E1EA1FA" w14:textId="7E249D21" w:rsidR="00B802ED" w:rsidRPr="0089285D" w:rsidRDefault="00B802ED" w:rsidP="00EF4104">
            <w:pPr>
              <w:pStyle w:val="BulletText3"/>
              <w:numPr>
                <w:ilvl w:val="0"/>
                <w:numId w:val="43"/>
              </w:numPr>
            </w:pPr>
            <w:r w:rsidRPr="0089285D">
              <w:t>Veteran and spouse reflect acceptable credit risks</w:t>
            </w:r>
          </w:p>
          <w:p w14:paraId="3E1EA1FB" w14:textId="41232B71" w:rsidR="00B802ED" w:rsidRPr="0089285D" w:rsidRDefault="00B802ED" w:rsidP="00EF4104">
            <w:pPr>
              <w:pStyle w:val="BulletText3"/>
              <w:numPr>
                <w:ilvl w:val="0"/>
                <w:numId w:val="43"/>
              </w:numPr>
            </w:pPr>
            <w:r w:rsidRPr="0089285D">
              <w:t>Stability</w:t>
            </w:r>
            <w:r>
              <w:t xml:space="preserve"> and </w:t>
            </w:r>
            <w:r w:rsidRPr="0089285D">
              <w:t>reliability of the income established</w:t>
            </w:r>
          </w:p>
          <w:p w14:paraId="3E1EA1FC" w14:textId="4F1C44C2" w:rsidR="00B802ED" w:rsidRPr="0089285D" w:rsidRDefault="00B802ED" w:rsidP="00EF4104">
            <w:pPr>
              <w:pStyle w:val="BulletText3"/>
              <w:numPr>
                <w:ilvl w:val="0"/>
                <w:numId w:val="43"/>
              </w:numPr>
            </w:pPr>
            <w:r w:rsidRPr="0089285D">
              <w:t>All significant debts properly considered</w:t>
            </w:r>
          </w:p>
          <w:p w14:paraId="3E1EA1FD" w14:textId="5DACF412" w:rsidR="00B802ED" w:rsidRPr="0089285D" w:rsidRDefault="00B802ED" w:rsidP="00EF4104">
            <w:pPr>
              <w:pStyle w:val="BulletText3"/>
              <w:numPr>
                <w:ilvl w:val="0"/>
                <w:numId w:val="43"/>
              </w:numPr>
            </w:pPr>
            <w:r w:rsidRPr="0089285D">
              <w:t xml:space="preserve">Proper occupancy certifications </w:t>
            </w:r>
          </w:p>
          <w:p w14:paraId="3E1EA1FE" w14:textId="65380E16" w:rsidR="00B802ED" w:rsidRPr="0089285D" w:rsidRDefault="00207833" w:rsidP="00EF4104">
            <w:pPr>
              <w:pStyle w:val="BulletText3"/>
              <w:numPr>
                <w:ilvl w:val="0"/>
                <w:numId w:val="43"/>
              </w:numPr>
            </w:pPr>
            <w:hyperlink r:id="rId17" w:history="1">
              <w:r w:rsidR="00B802ED" w:rsidRPr="00B552B4">
                <w:rPr>
                  <w:rStyle w:val="Hyperlink"/>
                </w:rPr>
                <w:t>VA Form 26-1820</w:t>
              </w:r>
            </w:hyperlink>
            <w:r w:rsidR="00B802ED" w:rsidRPr="0089285D">
              <w:t xml:space="preserve">, </w:t>
            </w:r>
            <w:r w:rsidR="00B802ED" w:rsidRPr="00075FBC">
              <w:rPr>
                <w:i/>
              </w:rPr>
              <w:t>Report and Certification of Loan Disbursement</w:t>
            </w:r>
            <w:r w:rsidR="00B802ED">
              <w:rPr>
                <w:i/>
              </w:rPr>
              <w:t>,</w:t>
            </w:r>
            <w:r w:rsidR="00B802ED" w:rsidRPr="0089285D">
              <w:t xml:space="preserve"> complete and signed on the date of closing </w:t>
            </w:r>
          </w:p>
          <w:p w14:paraId="3E1EA1FF" w14:textId="4ACF2C27" w:rsidR="00B802ED" w:rsidRPr="0089285D" w:rsidRDefault="00B802ED" w:rsidP="00EF4104">
            <w:pPr>
              <w:pStyle w:val="BulletText3"/>
              <w:numPr>
                <w:ilvl w:val="0"/>
                <w:numId w:val="43"/>
              </w:numPr>
            </w:pPr>
            <w:r w:rsidRPr="0089285D">
              <w:t>Veteran not charged unallowable fees or overcharged fees at closing</w:t>
            </w:r>
          </w:p>
          <w:p w14:paraId="3E1EA200" w14:textId="33095748" w:rsidR="00B802ED" w:rsidRPr="0089285D" w:rsidRDefault="00B802ED" w:rsidP="00EF4104">
            <w:pPr>
              <w:pStyle w:val="BulletText3"/>
              <w:numPr>
                <w:ilvl w:val="0"/>
                <w:numId w:val="43"/>
              </w:numPr>
            </w:pPr>
            <w:r w:rsidRPr="0089285D">
              <w:t xml:space="preserve">Funding fee </w:t>
            </w:r>
            <w:r w:rsidR="00DA1DF0">
              <w:t xml:space="preserve">is </w:t>
            </w:r>
            <w:r w:rsidRPr="0089285D">
              <w:t>correct with evidence of VA receipt in file, or file contains proper evidence of exemption</w:t>
            </w:r>
          </w:p>
          <w:p w14:paraId="3E1EA201" w14:textId="7D465DEC" w:rsidR="00B802ED" w:rsidRDefault="00B802ED" w:rsidP="00EF4104">
            <w:pPr>
              <w:pStyle w:val="BulletText3"/>
              <w:numPr>
                <w:ilvl w:val="0"/>
                <w:numId w:val="43"/>
              </w:numPr>
            </w:pPr>
            <w:r w:rsidRPr="0089285D">
              <w:t xml:space="preserve">Evidence </w:t>
            </w:r>
            <w:r>
              <w:t xml:space="preserve">documenting </w:t>
            </w:r>
            <w:r w:rsidRPr="0089285D">
              <w:t>discount points paid by the Veteran</w:t>
            </w:r>
            <w:r>
              <w:t xml:space="preserve"> </w:t>
            </w:r>
            <w:r w:rsidRPr="0089285D">
              <w:t>disclosed before loan closing</w:t>
            </w:r>
          </w:p>
          <w:p w14:paraId="3E1EA225" w14:textId="499B151B" w:rsidR="00B802ED" w:rsidRPr="00D70A2B" w:rsidRDefault="00B802ED" w:rsidP="00D70A2B">
            <w:pPr>
              <w:numPr>
                <w:ilvl w:val="0"/>
                <w:numId w:val="43"/>
              </w:numPr>
              <w:rPr>
                <w:szCs w:val="20"/>
              </w:rPr>
            </w:pPr>
            <w:r w:rsidRPr="00E37FDD">
              <w:rPr>
                <w:szCs w:val="20"/>
              </w:rPr>
              <w:t>Lender did not charge Veteran excess daily interest at closing</w:t>
            </w:r>
          </w:p>
        </w:tc>
      </w:tr>
      <w:tr w:rsidR="00B802ED" w:rsidRPr="0089285D" w14:paraId="1A369768" w14:textId="77777777" w:rsidTr="00B802ED">
        <w:trPr>
          <w:trHeight w:val="648"/>
        </w:trPr>
        <w:tc>
          <w:tcPr>
            <w:tcW w:w="1728" w:type="dxa"/>
            <w:vMerge/>
            <w:shd w:val="clear" w:color="auto" w:fill="auto"/>
          </w:tcPr>
          <w:p w14:paraId="693293B8" w14:textId="77777777" w:rsidR="00B802ED" w:rsidRPr="0089285D" w:rsidRDefault="00B802ED" w:rsidP="002172E1">
            <w:pPr>
              <w:pStyle w:val="Heading5"/>
            </w:pPr>
          </w:p>
        </w:tc>
        <w:tc>
          <w:tcPr>
            <w:tcW w:w="7772" w:type="dxa"/>
            <w:tcBorders>
              <w:top w:val="single" w:sz="4" w:space="0" w:color="auto"/>
            </w:tcBorders>
            <w:shd w:val="clear" w:color="auto" w:fill="auto"/>
          </w:tcPr>
          <w:p w14:paraId="5459F5C6" w14:textId="2E9DA16B" w:rsidR="00B802ED" w:rsidRDefault="00B802ED" w:rsidP="006D44CF">
            <w:pPr>
              <w:pStyle w:val="BlockText"/>
              <w:spacing w:before="40"/>
            </w:pPr>
            <w:r>
              <w:rPr>
                <w:i/>
                <w:color w:val="auto"/>
                <w:sz w:val="20"/>
                <w:szCs w:val="20"/>
              </w:rPr>
              <w:t xml:space="preserve">                                                                                                                 </w:t>
            </w:r>
            <w:r w:rsidRPr="005E3BD3">
              <w:rPr>
                <w:i/>
                <w:color w:val="auto"/>
                <w:sz w:val="20"/>
                <w:szCs w:val="20"/>
              </w:rPr>
              <w:t>Continued on next page</w:t>
            </w:r>
          </w:p>
        </w:tc>
      </w:tr>
      <w:bookmarkEnd w:id="22"/>
    </w:tbl>
    <w:p w14:paraId="107E7A6D" w14:textId="77777777" w:rsidR="00B552B4" w:rsidRDefault="00B552B4">
      <w:pPr>
        <w:spacing w:after="200" w:line="276" w:lineRule="auto"/>
      </w:pPr>
      <w:r>
        <w:br w:type="page"/>
      </w:r>
    </w:p>
    <w:p w14:paraId="1C29B40C" w14:textId="4CCA0B8E" w:rsidR="00236E60" w:rsidRPr="00407D09" w:rsidRDefault="00236E60" w:rsidP="00236E60">
      <w:pPr>
        <w:pStyle w:val="Heading4"/>
        <w:rPr>
          <w:b w:val="0"/>
          <w:sz w:val="24"/>
        </w:rPr>
      </w:pPr>
      <w:bookmarkStart w:id="23" w:name="fs_p5dJlLwJGkS3B5J6ZYmCHg"/>
      <w:r w:rsidRPr="002F0F70">
        <w:lastRenderedPageBreak/>
        <w:t>4.  Application of Quality Criteria</w:t>
      </w:r>
      <w:r w:rsidR="00407D09">
        <w:t xml:space="preserve">, </w:t>
      </w:r>
      <w:r w:rsidR="00407D09">
        <w:rPr>
          <w:b w:val="0"/>
          <w:sz w:val="24"/>
        </w:rPr>
        <w:t>Continued</w:t>
      </w:r>
    </w:p>
    <w:bookmarkEnd w:id="23"/>
    <w:p w14:paraId="178CF208" w14:textId="77777777" w:rsidR="00236E60" w:rsidRDefault="00236E60" w:rsidP="00236E60">
      <w:pPr>
        <w:pStyle w:val="BlockLine"/>
      </w:pPr>
    </w:p>
    <w:tbl>
      <w:tblPr>
        <w:tblpPr w:leftFromText="180" w:rightFromText="180" w:vertAnchor="text" w:horzAnchor="margin" w:tblpY="48"/>
        <w:tblW w:w="9500" w:type="dxa"/>
        <w:tblLayout w:type="fixed"/>
        <w:tblLook w:val="0000" w:firstRow="0" w:lastRow="0" w:firstColumn="0" w:lastColumn="0" w:noHBand="0" w:noVBand="0"/>
      </w:tblPr>
      <w:tblGrid>
        <w:gridCol w:w="1728"/>
        <w:gridCol w:w="7772"/>
      </w:tblGrid>
      <w:tr w:rsidR="006C18A2" w14:paraId="2F4B6B2F" w14:textId="77777777" w:rsidTr="006C18A2">
        <w:trPr>
          <w:trHeight w:val="10860"/>
        </w:trPr>
        <w:tc>
          <w:tcPr>
            <w:tcW w:w="1728" w:type="dxa"/>
            <w:vMerge w:val="restart"/>
            <w:shd w:val="clear" w:color="auto" w:fill="auto"/>
          </w:tcPr>
          <w:p w14:paraId="70A5F3B5" w14:textId="2A038136" w:rsidR="006C18A2" w:rsidRDefault="006C18A2" w:rsidP="006C18A2">
            <w:pPr>
              <w:pStyle w:val="Heading5"/>
            </w:pPr>
            <w:bookmarkStart w:id="24" w:name="fs_hSMbr07jz0GNPqnC9oS2vg" w:colFirst="0" w:colLast="0"/>
            <w:r w:rsidRPr="0089285D">
              <w:t>a. Lender Audits</w:t>
            </w:r>
            <w:r>
              <w:t>, Continued</w:t>
            </w:r>
          </w:p>
        </w:tc>
        <w:tc>
          <w:tcPr>
            <w:tcW w:w="7772" w:type="dxa"/>
            <w:tcBorders>
              <w:bottom w:val="single" w:sz="4" w:space="0" w:color="auto"/>
            </w:tcBorders>
            <w:shd w:val="clear" w:color="auto" w:fill="auto"/>
          </w:tcPr>
          <w:p w14:paraId="432DD28B" w14:textId="77777777" w:rsidR="006C18A2" w:rsidRPr="00E37FDD" w:rsidRDefault="006C18A2" w:rsidP="006C18A2">
            <w:pPr>
              <w:numPr>
                <w:ilvl w:val="0"/>
                <w:numId w:val="43"/>
              </w:numPr>
              <w:rPr>
                <w:szCs w:val="20"/>
              </w:rPr>
            </w:pPr>
            <w:r w:rsidRPr="00E37FDD">
              <w:rPr>
                <w:szCs w:val="20"/>
              </w:rPr>
              <w:t>Terms of the sale in basic agreement with the sales contract and addendum</w:t>
            </w:r>
          </w:p>
          <w:p w14:paraId="4FF2EF91" w14:textId="05D261A8" w:rsidR="006C18A2" w:rsidRPr="00E37FDD" w:rsidRDefault="006C18A2" w:rsidP="006C18A2">
            <w:pPr>
              <w:numPr>
                <w:ilvl w:val="0"/>
                <w:numId w:val="43"/>
              </w:numPr>
              <w:rPr>
                <w:szCs w:val="20"/>
              </w:rPr>
            </w:pPr>
            <w:r>
              <w:rPr>
                <w:szCs w:val="20"/>
              </w:rPr>
              <w:t>A</w:t>
            </w:r>
            <w:r w:rsidRPr="00E37FDD">
              <w:rPr>
                <w:szCs w:val="20"/>
              </w:rPr>
              <w:t xml:space="preserve">ll credit reports </w:t>
            </w:r>
            <w:r>
              <w:rPr>
                <w:szCs w:val="20"/>
              </w:rPr>
              <w:t>showing</w:t>
            </w:r>
            <w:r w:rsidRPr="00E37FDD">
              <w:rPr>
                <w:szCs w:val="20"/>
              </w:rPr>
              <w:t xml:space="preserve"> </w:t>
            </w:r>
            <w:r>
              <w:rPr>
                <w:szCs w:val="20"/>
              </w:rPr>
              <w:t>each report</w:t>
            </w:r>
            <w:r w:rsidRPr="00E37FDD">
              <w:rPr>
                <w:szCs w:val="20"/>
              </w:rPr>
              <w:t xml:space="preserve"> met credit report standards </w:t>
            </w:r>
          </w:p>
          <w:p w14:paraId="35DD7C0C" w14:textId="77777777" w:rsidR="006C18A2" w:rsidRPr="00E37FDD" w:rsidRDefault="006C18A2" w:rsidP="006C18A2">
            <w:pPr>
              <w:numPr>
                <w:ilvl w:val="0"/>
                <w:numId w:val="43"/>
              </w:numPr>
              <w:rPr>
                <w:szCs w:val="20"/>
              </w:rPr>
            </w:pPr>
            <w:r w:rsidRPr="00E37FDD">
              <w:rPr>
                <w:szCs w:val="20"/>
              </w:rPr>
              <w:t>Loan amount did not exceed the maximum allowed</w:t>
            </w:r>
          </w:p>
          <w:p w14:paraId="0CECA131" w14:textId="77777777" w:rsidR="006C18A2" w:rsidRPr="00E37FDD" w:rsidRDefault="006C18A2" w:rsidP="006C18A2">
            <w:pPr>
              <w:numPr>
                <w:ilvl w:val="0"/>
                <w:numId w:val="43"/>
              </w:numPr>
              <w:rPr>
                <w:szCs w:val="20"/>
              </w:rPr>
            </w:pPr>
            <w:r w:rsidRPr="00E37FDD">
              <w:rPr>
                <w:szCs w:val="20"/>
              </w:rPr>
              <w:t>Veteran, on a purchase loan, did not receive excess cash proceeds</w:t>
            </w:r>
          </w:p>
          <w:p w14:paraId="6CF09D8E" w14:textId="77777777" w:rsidR="006C18A2" w:rsidRPr="00E37FDD" w:rsidRDefault="006C18A2" w:rsidP="006C18A2">
            <w:pPr>
              <w:numPr>
                <w:ilvl w:val="0"/>
                <w:numId w:val="43"/>
              </w:numPr>
              <w:rPr>
                <w:szCs w:val="20"/>
              </w:rPr>
            </w:pPr>
            <w:r w:rsidRPr="00E37FDD">
              <w:rPr>
                <w:szCs w:val="20"/>
              </w:rPr>
              <w:t>A non-supervised lender reflects a VA-approved underwriter</w:t>
            </w:r>
          </w:p>
          <w:p w14:paraId="65D938BC" w14:textId="77777777" w:rsidR="006C18A2" w:rsidRPr="00E37FDD" w:rsidRDefault="006C18A2" w:rsidP="006C18A2">
            <w:pPr>
              <w:numPr>
                <w:ilvl w:val="0"/>
                <w:numId w:val="43"/>
              </w:numPr>
              <w:rPr>
                <w:szCs w:val="20"/>
              </w:rPr>
            </w:pPr>
            <w:r w:rsidRPr="00E37FDD">
              <w:rPr>
                <w:szCs w:val="20"/>
              </w:rPr>
              <w:t>Appropriate lender official properly executed the loan quality certification</w:t>
            </w:r>
          </w:p>
          <w:p w14:paraId="59627091" w14:textId="72F920BA" w:rsidR="006C18A2" w:rsidRPr="00E37FDD" w:rsidRDefault="006C18A2" w:rsidP="006C18A2">
            <w:pPr>
              <w:numPr>
                <w:ilvl w:val="0"/>
                <w:numId w:val="43"/>
              </w:numPr>
              <w:rPr>
                <w:szCs w:val="20"/>
              </w:rPr>
            </w:pPr>
            <w:r w:rsidRPr="00E37FDD">
              <w:rPr>
                <w:szCs w:val="20"/>
              </w:rPr>
              <w:t>Lender</w:t>
            </w:r>
            <w:r>
              <w:rPr>
                <w:szCs w:val="20"/>
              </w:rPr>
              <w:t xml:space="preserve">’s </w:t>
            </w:r>
            <w:r w:rsidRPr="00E37FDD">
              <w:rPr>
                <w:szCs w:val="20"/>
              </w:rPr>
              <w:t>agent met program requirements</w:t>
            </w:r>
          </w:p>
          <w:p w14:paraId="30855693" w14:textId="77777777" w:rsidR="006C18A2" w:rsidRPr="00E37FDD" w:rsidRDefault="006C18A2" w:rsidP="006C18A2">
            <w:pPr>
              <w:numPr>
                <w:ilvl w:val="0"/>
                <w:numId w:val="43"/>
              </w:numPr>
              <w:rPr>
                <w:szCs w:val="20"/>
              </w:rPr>
            </w:pPr>
            <w:r w:rsidRPr="00E37FDD">
              <w:rPr>
                <w:szCs w:val="20"/>
              </w:rPr>
              <w:t>Sufficient assets to close the loan properly verified</w:t>
            </w:r>
          </w:p>
          <w:p w14:paraId="06570E76" w14:textId="77777777" w:rsidR="006C18A2" w:rsidRPr="00E37FDD" w:rsidRDefault="006C18A2" w:rsidP="006C18A2">
            <w:pPr>
              <w:numPr>
                <w:ilvl w:val="0"/>
                <w:numId w:val="43"/>
              </w:numPr>
              <w:rPr>
                <w:szCs w:val="20"/>
              </w:rPr>
            </w:pPr>
            <w:r w:rsidRPr="00E37FDD">
              <w:rPr>
                <w:szCs w:val="20"/>
              </w:rPr>
              <w:t>Verifications of employment and deposit properly handled (not hand-carried by the Veteran)</w:t>
            </w:r>
          </w:p>
          <w:p w14:paraId="54D27C2A" w14:textId="77777777" w:rsidR="006C18A2" w:rsidRPr="00E37FDD" w:rsidRDefault="006C18A2" w:rsidP="006C18A2">
            <w:pPr>
              <w:numPr>
                <w:ilvl w:val="0"/>
                <w:numId w:val="43"/>
              </w:numPr>
              <w:rPr>
                <w:szCs w:val="20"/>
              </w:rPr>
            </w:pPr>
            <w:r w:rsidRPr="00E37FDD">
              <w:rPr>
                <w:szCs w:val="20"/>
              </w:rPr>
              <w:t>Lender retained copies of all required documentation for the required time period</w:t>
            </w:r>
          </w:p>
          <w:p w14:paraId="29F2330C" w14:textId="77777777" w:rsidR="006C18A2" w:rsidRPr="00E37FDD" w:rsidRDefault="006C18A2" w:rsidP="006C18A2">
            <w:pPr>
              <w:numPr>
                <w:ilvl w:val="0"/>
                <w:numId w:val="43"/>
              </w:numPr>
              <w:rPr>
                <w:szCs w:val="20"/>
              </w:rPr>
            </w:pPr>
            <w:r w:rsidRPr="00E37FDD">
              <w:rPr>
                <w:szCs w:val="20"/>
              </w:rPr>
              <w:t>Documents complete and signed (including Deed of Trust Note or Mortgage)</w:t>
            </w:r>
          </w:p>
          <w:p w14:paraId="4B9D1A64" w14:textId="77777777" w:rsidR="006C18A2" w:rsidRPr="00E37FDD" w:rsidRDefault="006C18A2" w:rsidP="006C18A2">
            <w:pPr>
              <w:numPr>
                <w:ilvl w:val="0"/>
                <w:numId w:val="43"/>
              </w:numPr>
              <w:rPr>
                <w:szCs w:val="20"/>
              </w:rPr>
            </w:pPr>
            <w:r w:rsidRPr="00E37FDD">
              <w:rPr>
                <w:szCs w:val="20"/>
              </w:rPr>
              <w:t>Data throughout the file consistent with no potential fraud indicators</w:t>
            </w:r>
          </w:p>
          <w:p w14:paraId="650A4FA8" w14:textId="77777777" w:rsidR="006C18A2" w:rsidRPr="00E37FDD" w:rsidRDefault="006C18A2" w:rsidP="006C18A2">
            <w:pPr>
              <w:numPr>
                <w:ilvl w:val="0"/>
                <w:numId w:val="43"/>
              </w:numPr>
              <w:rPr>
                <w:szCs w:val="20"/>
              </w:rPr>
            </w:pPr>
            <w:r w:rsidRPr="00E37FDD">
              <w:rPr>
                <w:szCs w:val="20"/>
              </w:rPr>
              <w:t>If Automated Underwriting System (AUS) used, data correctly entered</w:t>
            </w:r>
          </w:p>
          <w:p w14:paraId="579EDE5C" w14:textId="7EBE0364" w:rsidR="006C18A2" w:rsidRPr="00E37FDD" w:rsidRDefault="006C18A2" w:rsidP="006C18A2">
            <w:pPr>
              <w:numPr>
                <w:ilvl w:val="0"/>
                <w:numId w:val="43"/>
              </w:numPr>
              <w:rPr>
                <w:szCs w:val="20"/>
              </w:rPr>
            </w:pPr>
            <w:r w:rsidRPr="00E37FDD">
              <w:rPr>
                <w:szCs w:val="20"/>
              </w:rPr>
              <w:t xml:space="preserve">No indications that the Veteran’s loan eligibility </w:t>
            </w:r>
            <w:r>
              <w:rPr>
                <w:szCs w:val="20"/>
              </w:rPr>
              <w:t xml:space="preserve">is </w:t>
            </w:r>
            <w:r w:rsidRPr="00E37FDD">
              <w:rPr>
                <w:szCs w:val="20"/>
              </w:rPr>
              <w:t>questionable</w:t>
            </w:r>
          </w:p>
          <w:p w14:paraId="04C552B5" w14:textId="5A697056" w:rsidR="006C18A2" w:rsidRPr="00E37FDD" w:rsidRDefault="006C18A2" w:rsidP="006C18A2">
            <w:pPr>
              <w:numPr>
                <w:ilvl w:val="0"/>
                <w:numId w:val="43"/>
              </w:numPr>
              <w:rPr>
                <w:szCs w:val="20"/>
              </w:rPr>
            </w:pPr>
            <w:r w:rsidRPr="00E37FDD">
              <w:rPr>
                <w:szCs w:val="20"/>
              </w:rPr>
              <w:t>Property</w:t>
            </w:r>
            <w:r>
              <w:rPr>
                <w:szCs w:val="20"/>
              </w:rPr>
              <w:t xml:space="preserve"> verified as </w:t>
            </w:r>
            <w:r w:rsidRPr="00E37FDD">
              <w:rPr>
                <w:szCs w:val="20"/>
              </w:rPr>
              <w:t>eligible</w:t>
            </w:r>
          </w:p>
          <w:p w14:paraId="210290B8" w14:textId="2BEE0662" w:rsidR="006C18A2" w:rsidRPr="00AE44C8" w:rsidRDefault="006C18A2" w:rsidP="006C18A2">
            <w:pPr>
              <w:numPr>
                <w:ilvl w:val="0"/>
                <w:numId w:val="43"/>
              </w:numPr>
              <w:rPr>
                <w:szCs w:val="20"/>
              </w:rPr>
            </w:pPr>
            <w:r w:rsidRPr="00E37FDD">
              <w:rPr>
                <w:szCs w:val="20"/>
              </w:rPr>
              <w:t xml:space="preserve">All </w:t>
            </w:r>
            <w:r>
              <w:rPr>
                <w:szCs w:val="20"/>
              </w:rPr>
              <w:t>Notice of Value (</w:t>
            </w:r>
            <w:r w:rsidRPr="00E37FDD">
              <w:rPr>
                <w:szCs w:val="20"/>
              </w:rPr>
              <w:t>NOV</w:t>
            </w:r>
            <w:r>
              <w:rPr>
                <w:szCs w:val="20"/>
              </w:rPr>
              <w:t>)</w:t>
            </w:r>
            <w:r w:rsidRPr="00E37FDD">
              <w:rPr>
                <w:szCs w:val="20"/>
              </w:rPr>
              <w:t xml:space="preserve"> conditions</w:t>
            </w:r>
            <w:r>
              <w:rPr>
                <w:szCs w:val="20"/>
              </w:rPr>
              <w:t xml:space="preserve"> were</w:t>
            </w:r>
            <w:r w:rsidRPr="00E37FDD">
              <w:rPr>
                <w:szCs w:val="20"/>
              </w:rPr>
              <w:t xml:space="preserve"> met</w:t>
            </w:r>
            <w:r>
              <w:rPr>
                <w:szCs w:val="20"/>
              </w:rPr>
              <w:t xml:space="preserve"> and </w:t>
            </w:r>
            <w:r w:rsidRPr="00E37FDD">
              <w:rPr>
                <w:szCs w:val="20"/>
              </w:rPr>
              <w:t>NOV</w:t>
            </w:r>
            <w:r>
              <w:rPr>
                <w:szCs w:val="20"/>
              </w:rPr>
              <w:t xml:space="preserve"> was</w:t>
            </w:r>
            <w:r w:rsidRPr="00E37FDD">
              <w:rPr>
                <w:szCs w:val="20"/>
              </w:rPr>
              <w:t xml:space="preserve"> properly and timely issued to the Veteran</w:t>
            </w:r>
          </w:p>
          <w:p w14:paraId="7A76A7B3" w14:textId="2D5A215A" w:rsidR="006C18A2" w:rsidRPr="00E37FDD" w:rsidRDefault="006C18A2" w:rsidP="006C18A2">
            <w:pPr>
              <w:numPr>
                <w:ilvl w:val="0"/>
                <w:numId w:val="43"/>
              </w:numPr>
              <w:rPr>
                <w:szCs w:val="20"/>
              </w:rPr>
            </w:pPr>
            <w:r w:rsidRPr="00E37FDD">
              <w:rPr>
                <w:szCs w:val="20"/>
              </w:rPr>
              <w:t xml:space="preserve">If </w:t>
            </w:r>
            <w:r w:rsidRPr="00AE44C8">
              <w:rPr>
                <w:szCs w:val="20"/>
              </w:rPr>
              <w:t>Lender Appraisal Processing Program</w:t>
            </w:r>
            <w:r>
              <w:rPr>
                <w:szCs w:val="20"/>
              </w:rPr>
              <w:t xml:space="preserve"> (</w:t>
            </w:r>
            <w:r w:rsidRPr="00E37FDD">
              <w:rPr>
                <w:szCs w:val="20"/>
              </w:rPr>
              <w:t>LAPP</w:t>
            </w:r>
            <w:r>
              <w:rPr>
                <w:szCs w:val="20"/>
              </w:rPr>
              <w:t>)</w:t>
            </w:r>
            <w:r w:rsidRPr="00E37FDD">
              <w:rPr>
                <w:szCs w:val="20"/>
              </w:rPr>
              <w:t xml:space="preserve"> processing:</w:t>
            </w:r>
          </w:p>
          <w:p w14:paraId="350C7B75" w14:textId="2C865D8D" w:rsidR="006C18A2" w:rsidRPr="00E37FDD" w:rsidRDefault="006C18A2" w:rsidP="006D44CF">
            <w:pPr>
              <w:numPr>
                <w:ilvl w:val="0"/>
                <w:numId w:val="51"/>
              </w:numPr>
              <w:ind w:left="1422"/>
              <w:rPr>
                <w:szCs w:val="20"/>
              </w:rPr>
            </w:pPr>
            <w:r w:rsidRPr="00E37FDD">
              <w:rPr>
                <w:szCs w:val="20"/>
              </w:rPr>
              <w:t xml:space="preserve">The SAR </w:t>
            </w:r>
            <w:r w:rsidR="00DA1DF0">
              <w:rPr>
                <w:szCs w:val="20"/>
              </w:rPr>
              <w:t xml:space="preserve">is </w:t>
            </w:r>
            <w:r w:rsidRPr="00E37FDD">
              <w:rPr>
                <w:szCs w:val="20"/>
              </w:rPr>
              <w:t>VA-approved</w:t>
            </w:r>
          </w:p>
          <w:p w14:paraId="3AE913E4" w14:textId="77777777" w:rsidR="006C18A2" w:rsidRPr="00E37FDD" w:rsidRDefault="006C18A2" w:rsidP="006D44CF">
            <w:pPr>
              <w:numPr>
                <w:ilvl w:val="0"/>
                <w:numId w:val="51"/>
              </w:numPr>
              <w:ind w:left="1422"/>
              <w:rPr>
                <w:szCs w:val="20"/>
              </w:rPr>
            </w:pPr>
            <w:r w:rsidRPr="00E37FDD">
              <w:rPr>
                <w:szCs w:val="20"/>
              </w:rPr>
              <w:t>SAR met limitations on value adjustments and written justification documented</w:t>
            </w:r>
          </w:p>
          <w:p w14:paraId="1AACEA3F" w14:textId="77777777" w:rsidR="006C18A2" w:rsidRPr="00E37FDD" w:rsidRDefault="006C18A2" w:rsidP="006D44CF">
            <w:pPr>
              <w:numPr>
                <w:ilvl w:val="0"/>
                <w:numId w:val="51"/>
              </w:numPr>
              <w:ind w:left="1422"/>
              <w:rPr>
                <w:szCs w:val="20"/>
              </w:rPr>
            </w:pPr>
            <w:r w:rsidRPr="00E37FDD">
              <w:rPr>
                <w:szCs w:val="20"/>
              </w:rPr>
              <w:t>SAR met limitations on repair waivers and written justification documented</w:t>
            </w:r>
          </w:p>
          <w:p w14:paraId="76A3333F" w14:textId="77777777" w:rsidR="006C18A2" w:rsidRPr="00E37FDD" w:rsidRDefault="006C18A2" w:rsidP="006D44CF">
            <w:pPr>
              <w:numPr>
                <w:ilvl w:val="0"/>
                <w:numId w:val="51"/>
              </w:numPr>
              <w:ind w:left="1422"/>
              <w:rPr>
                <w:szCs w:val="20"/>
              </w:rPr>
            </w:pPr>
            <w:r w:rsidRPr="00E37FDD">
              <w:rPr>
                <w:szCs w:val="20"/>
              </w:rPr>
              <w:t xml:space="preserve">SAR’s review diligent and any questionable URAR items clarified with the fee appraiser and documented in writing </w:t>
            </w:r>
          </w:p>
          <w:p w14:paraId="76F27A16" w14:textId="77777777" w:rsidR="006C18A2" w:rsidRDefault="006C18A2" w:rsidP="006C18A2">
            <w:pPr>
              <w:pStyle w:val="BlockText"/>
            </w:pPr>
          </w:p>
          <w:p w14:paraId="45C702C5" w14:textId="77777777" w:rsidR="006C18A2" w:rsidRDefault="006C18A2" w:rsidP="006C18A2">
            <w:pPr>
              <w:rPr>
                <w:szCs w:val="20"/>
              </w:rPr>
            </w:pPr>
            <w:r w:rsidRPr="00E37FDD">
              <w:rPr>
                <w:szCs w:val="20"/>
              </w:rPr>
              <w:t>Additional areas of quality reviews are as follows:</w:t>
            </w:r>
          </w:p>
          <w:p w14:paraId="475D5702" w14:textId="77777777" w:rsidR="006C18A2" w:rsidRPr="00E37FDD" w:rsidRDefault="006C18A2" w:rsidP="006C18A2">
            <w:pPr>
              <w:rPr>
                <w:szCs w:val="20"/>
              </w:rPr>
            </w:pPr>
          </w:p>
          <w:p w14:paraId="29835B1F" w14:textId="1F8305BF" w:rsidR="006C18A2" w:rsidRDefault="006C18A2" w:rsidP="002172E1">
            <w:pPr>
              <w:pStyle w:val="BlockText"/>
              <w:numPr>
                <w:ilvl w:val="0"/>
                <w:numId w:val="48"/>
              </w:numPr>
            </w:pPr>
            <w:r w:rsidRPr="00E37FDD">
              <w:rPr>
                <w:szCs w:val="20"/>
              </w:rPr>
              <w:t xml:space="preserve">The </w:t>
            </w:r>
            <w:r w:rsidR="002172E1">
              <w:rPr>
                <w:szCs w:val="20"/>
              </w:rPr>
              <w:t>l</w:t>
            </w:r>
            <w:r w:rsidRPr="00E37FDD">
              <w:rPr>
                <w:szCs w:val="20"/>
              </w:rPr>
              <w:t xml:space="preserve">ender’s Quality Control plan will be reviewed to assure the </w:t>
            </w:r>
            <w:r w:rsidR="002172E1">
              <w:rPr>
                <w:szCs w:val="20"/>
              </w:rPr>
              <w:t>l</w:t>
            </w:r>
            <w:r w:rsidR="002172E1" w:rsidRPr="00E37FDD">
              <w:rPr>
                <w:szCs w:val="20"/>
              </w:rPr>
              <w:t xml:space="preserve">ender’s </w:t>
            </w:r>
            <w:r w:rsidRPr="00E37FDD">
              <w:rPr>
                <w:szCs w:val="20"/>
              </w:rPr>
              <w:t xml:space="preserve">quality review process is identifying primary issues. The MU examination will also assure the </w:t>
            </w:r>
            <w:r w:rsidR="002172E1">
              <w:rPr>
                <w:szCs w:val="20"/>
              </w:rPr>
              <w:t>l</w:t>
            </w:r>
            <w:r w:rsidRPr="00E37FDD">
              <w:rPr>
                <w:szCs w:val="20"/>
              </w:rPr>
              <w:t>ender has a corrective action plan to manage, educate, and resolve loan origination issues.</w:t>
            </w:r>
          </w:p>
        </w:tc>
      </w:tr>
      <w:tr w:rsidR="006C18A2" w14:paraId="70550801" w14:textId="77777777" w:rsidTr="006D44CF">
        <w:trPr>
          <w:trHeight w:val="377"/>
        </w:trPr>
        <w:tc>
          <w:tcPr>
            <w:tcW w:w="1728" w:type="dxa"/>
            <w:vMerge/>
            <w:shd w:val="clear" w:color="auto" w:fill="auto"/>
          </w:tcPr>
          <w:p w14:paraId="37BF75A4" w14:textId="77777777" w:rsidR="006C18A2" w:rsidRPr="0089285D" w:rsidRDefault="006C18A2" w:rsidP="006C18A2">
            <w:pPr>
              <w:pStyle w:val="Heading5"/>
            </w:pPr>
          </w:p>
        </w:tc>
        <w:tc>
          <w:tcPr>
            <w:tcW w:w="7772" w:type="dxa"/>
            <w:tcBorders>
              <w:top w:val="single" w:sz="4" w:space="0" w:color="auto"/>
            </w:tcBorders>
            <w:shd w:val="clear" w:color="auto" w:fill="auto"/>
          </w:tcPr>
          <w:p w14:paraId="4710F35D" w14:textId="48362196" w:rsidR="006C18A2" w:rsidRPr="00E37FDD" w:rsidRDefault="006C18A2" w:rsidP="006D44CF">
            <w:pPr>
              <w:spacing w:before="40"/>
              <w:ind w:left="720" w:right="-173"/>
              <w:rPr>
                <w:szCs w:val="20"/>
              </w:rPr>
            </w:pPr>
            <w:r>
              <w:rPr>
                <w:i/>
                <w:color w:val="auto"/>
                <w:sz w:val="20"/>
                <w:szCs w:val="20"/>
              </w:rPr>
              <w:t xml:space="preserve">                                                                                                   </w:t>
            </w:r>
            <w:r w:rsidRPr="005E3BD3">
              <w:rPr>
                <w:i/>
                <w:color w:val="auto"/>
                <w:sz w:val="20"/>
                <w:szCs w:val="20"/>
              </w:rPr>
              <w:t>Continued on next page</w:t>
            </w:r>
          </w:p>
        </w:tc>
      </w:tr>
      <w:bookmarkEnd w:id="24"/>
    </w:tbl>
    <w:p w14:paraId="5D85781C" w14:textId="77777777" w:rsidR="00D70A2B" w:rsidRDefault="00D70A2B" w:rsidP="00D70A2B"/>
    <w:p w14:paraId="645DB910" w14:textId="77777777" w:rsidR="00D70A2B" w:rsidRDefault="00D70A2B" w:rsidP="00D70A2B"/>
    <w:p w14:paraId="7A91946B" w14:textId="65DD5990" w:rsidR="00407D09" w:rsidRDefault="00407D09">
      <w:pPr>
        <w:spacing w:after="200" w:line="276" w:lineRule="auto"/>
      </w:pPr>
      <w:r>
        <w:lastRenderedPageBreak/>
        <w:br w:type="page"/>
      </w:r>
    </w:p>
    <w:p w14:paraId="3309C8E4" w14:textId="77777777" w:rsidR="00407D09" w:rsidRPr="00407D09" w:rsidRDefault="00407D09" w:rsidP="00407D09">
      <w:pPr>
        <w:pStyle w:val="Heading4"/>
        <w:rPr>
          <w:b w:val="0"/>
          <w:sz w:val="24"/>
        </w:rPr>
      </w:pPr>
      <w:bookmarkStart w:id="25" w:name="fs_WpS6wa2bE0aKGNOApg3zNA"/>
      <w:r w:rsidRPr="002F0F70">
        <w:lastRenderedPageBreak/>
        <w:t>4.  Application of Quality Criteria</w:t>
      </w:r>
      <w:r>
        <w:t xml:space="preserve">, </w:t>
      </w:r>
      <w:r>
        <w:rPr>
          <w:b w:val="0"/>
          <w:sz w:val="24"/>
        </w:rPr>
        <w:t>Continued</w:t>
      </w:r>
    </w:p>
    <w:bookmarkEnd w:id="25"/>
    <w:p w14:paraId="77C1C852" w14:textId="77777777" w:rsidR="00D70A2B" w:rsidRPr="006D44CF" w:rsidRDefault="00D70A2B" w:rsidP="00407D09">
      <w:pPr>
        <w:pStyle w:val="BlockLine"/>
        <w:rPr>
          <w:sz w:val="20"/>
        </w:rPr>
      </w:pPr>
    </w:p>
    <w:tbl>
      <w:tblPr>
        <w:tblpPr w:leftFromText="180" w:rightFromText="180" w:vertAnchor="text" w:horzAnchor="margin" w:tblpY="93"/>
        <w:tblW w:w="9500" w:type="dxa"/>
        <w:tblLayout w:type="fixed"/>
        <w:tblLook w:val="0000" w:firstRow="0" w:lastRow="0" w:firstColumn="0" w:lastColumn="0" w:noHBand="0" w:noVBand="0"/>
      </w:tblPr>
      <w:tblGrid>
        <w:gridCol w:w="1728"/>
        <w:gridCol w:w="7772"/>
      </w:tblGrid>
      <w:tr w:rsidR="00417076" w14:paraId="195B4772" w14:textId="77777777" w:rsidTr="00417076">
        <w:tc>
          <w:tcPr>
            <w:tcW w:w="1728" w:type="dxa"/>
            <w:shd w:val="clear" w:color="auto" w:fill="auto"/>
          </w:tcPr>
          <w:p w14:paraId="001037A6" w14:textId="1FE024AE" w:rsidR="00417076" w:rsidRDefault="006C18A2" w:rsidP="00417076">
            <w:pPr>
              <w:pStyle w:val="Heading5"/>
            </w:pPr>
            <w:bookmarkStart w:id="26" w:name="fs_y1Wnj0slU6fclVCI9pztw" w:colFirst="0" w:colLast="0"/>
            <w:r w:rsidRPr="0089285D">
              <w:t>a. Lender Audits</w:t>
            </w:r>
            <w:r>
              <w:t>, Continued</w:t>
            </w:r>
          </w:p>
        </w:tc>
        <w:tc>
          <w:tcPr>
            <w:tcW w:w="7772" w:type="dxa"/>
            <w:shd w:val="clear" w:color="auto" w:fill="auto"/>
          </w:tcPr>
          <w:p w14:paraId="23A9D179" w14:textId="0E925E51" w:rsidR="00417076" w:rsidRPr="00E37FDD" w:rsidRDefault="00417076" w:rsidP="00417076">
            <w:pPr>
              <w:numPr>
                <w:ilvl w:val="0"/>
                <w:numId w:val="44"/>
              </w:numPr>
              <w:rPr>
                <w:szCs w:val="20"/>
              </w:rPr>
            </w:pPr>
            <w:r w:rsidRPr="00E37FDD">
              <w:rPr>
                <w:szCs w:val="20"/>
              </w:rPr>
              <w:t xml:space="preserve">The </w:t>
            </w:r>
            <w:r w:rsidR="00E94C3C">
              <w:rPr>
                <w:szCs w:val="20"/>
              </w:rPr>
              <w:t>l</w:t>
            </w:r>
            <w:r w:rsidRPr="00E37FDD">
              <w:rPr>
                <w:szCs w:val="20"/>
              </w:rPr>
              <w:t>ender</w:t>
            </w:r>
            <w:r w:rsidR="003744FB">
              <w:rPr>
                <w:szCs w:val="20"/>
              </w:rPr>
              <w:t>’s</w:t>
            </w:r>
            <w:r w:rsidRPr="00E37FDD">
              <w:rPr>
                <w:szCs w:val="20"/>
              </w:rPr>
              <w:t xml:space="preserve"> Staff Appraiser Reviewer (SAR) Quality Control plan will be reviewed to assure the </w:t>
            </w:r>
            <w:r w:rsidR="00E94C3C">
              <w:rPr>
                <w:szCs w:val="20"/>
              </w:rPr>
              <w:t>l</w:t>
            </w:r>
            <w:r w:rsidRPr="00E37FDD">
              <w:rPr>
                <w:szCs w:val="20"/>
              </w:rPr>
              <w:t xml:space="preserve">ender’s quality review process is identifying primary issues. The MU examination will also assure the </w:t>
            </w:r>
            <w:r w:rsidR="00E94C3C">
              <w:rPr>
                <w:szCs w:val="20"/>
              </w:rPr>
              <w:t>l</w:t>
            </w:r>
            <w:r w:rsidRPr="00E37FDD">
              <w:rPr>
                <w:szCs w:val="20"/>
              </w:rPr>
              <w:t xml:space="preserve">ender has a corrective action plan to manage, educate, and resolve Field Appraiser findings. </w:t>
            </w:r>
          </w:p>
          <w:p w14:paraId="44D5C2BC" w14:textId="2039054C" w:rsidR="00417076" w:rsidRPr="00E37FDD" w:rsidRDefault="00417076" w:rsidP="00417076">
            <w:pPr>
              <w:numPr>
                <w:ilvl w:val="0"/>
                <w:numId w:val="44"/>
              </w:numPr>
              <w:rPr>
                <w:szCs w:val="20"/>
              </w:rPr>
            </w:pPr>
            <w:r w:rsidRPr="00E37FDD">
              <w:rPr>
                <w:szCs w:val="20"/>
              </w:rPr>
              <w:t xml:space="preserve">Non-compliance loans will be reviewed to assure the </w:t>
            </w:r>
            <w:r w:rsidR="00E94C3C">
              <w:rPr>
                <w:szCs w:val="20"/>
              </w:rPr>
              <w:t>l</w:t>
            </w:r>
            <w:r w:rsidRPr="00E37FDD">
              <w:rPr>
                <w:szCs w:val="20"/>
              </w:rPr>
              <w:t>ender is managing all issues effectively and efficiently and resolving all non-compliant issues with the appropriate RLC.</w:t>
            </w:r>
          </w:p>
          <w:p w14:paraId="579C6D7A" w14:textId="5538430F" w:rsidR="00417076" w:rsidRPr="00E37FDD" w:rsidRDefault="00417076" w:rsidP="00417076">
            <w:pPr>
              <w:numPr>
                <w:ilvl w:val="0"/>
                <w:numId w:val="44"/>
              </w:numPr>
              <w:rPr>
                <w:szCs w:val="20"/>
              </w:rPr>
            </w:pPr>
            <w:r w:rsidRPr="00E37FDD">
              <w:rPr>
                <w:szCs w:val="20"/>
              </w:rPr>
              <w:t xml:space="preserve">MU will review the </w:t>
            </w:r>
            <w:r w:rsidR="00E94C3C">
              <w:rPr>
                <w:szCs w:val="20"/>
              </w:rPr>
              <w:t>l</w:t>
            </w:r>
            <w:r w:rsidRPr="00E37FDD">
              <w:rPr>
                <w:szCs w:val="20"/>
              </w:rPr>
              <w:t xml:space="preserve">ender’s declined loan portfolio for loans declined within </w:t>
            </w:r>
            <w:r w:rsidR="00DA1DF0">
              <w:rPr>
                <w:szCs w:val="20"/>
              </w:rPr>
              <w:t xml:space="preserve">3 </w:t>
            </w:r>
            <w:r w:rsidRPr="00E37FDD">
              <w:rPr>
                <w:szCs w:val="20"/>
              </w:rPr>
              <w:t xml:space="preserve">months of the audit date. MU’s review will be performed to assure the </w:t>
            </w:r>
            <w:r w:rsidR="00355358">
              <w:rPr>
                <w:szCs w:val="20"/>
              </w:rPr>
              <w:t>l</w:t>
            </w:r>
            <w:r w:rsidRPr="00E37FDD">
              <w:rPr>
                <w:szCs w:val="20"/>
              </w:rPr>
              <w:t>ender is conforming to VA law</w:t>
            </w:r>
            <w:r w:rsidR="00423A5B">
              <w:rPr>
                <w:szCs w:val="20"/>
              </w:rPr>
              <w:t>s</w:t>
            </w:r>
            <w:r w:rsidRPr="00E37FDD">
              <w:rPr>
                <w:szCs w:val="20"/>
              </w:rPr>
              <w:t>, regulation</w:t>
            </w:r>
            <w:r w:rsidR="00423A5B">
              <w:rPr>
                <w:szCs w:val="20"/>
              </w:rPr>
              <w:t>s</w:t>
            </w:r>
            <w:r w:rsidRPr="00E37FDD">
              <w:rPr>
                <w:szCs w:val="20"/>
              </w:rPr>
              <w:t>, procedure</w:t>
            </w:r>
            <w:r w:rsidR="00423A5B">
              <w:rPr>
                <w:szCs w:val="20"/>
              </w:rPr>
              <w:t>s</w:t>
            </w:r>
            <w:r w:rsidRPr="00E37FDD">
              <w:rPr>
                <w:szCs w:val="20"/>
              </w:rPr>
              <w:t>, and polic</w:t>
            </w:r>
            <w:r w:rsidR="00423A5B">
              <w:rPr>
                <w:szCs w:val="20"/>
              </w:rPr>
              <w:t>ies</w:t>
            </w:r>
            <w:r w:rsidRPr="00E37FDD">
              <w:rPr>
                <w:szCs w:val="20"/>
              </w:rPr>
              <w:t xml:space="preserve"> when making the final determination </w:t>
            </w:r>
            <w:r w:rsidR="00423A5B">
              <w:rPr>
                <w:szCs w:val="20"/>
              </w:rPr>
              <w:t>to decline approval of a Veteran’s loan.</w:t>
            </w:r>
            <w:r w:rsidRPr="00E37FDD">
              <w:rPr>
                <w:szCs w:val="20"/>
              </w:rPr>
              <w:t xml:space="preserve"> </w:t>
            </w:r>
          </w:p>
          <w:p w14:paraId="2720D097" w14:textId="1CB13B46" w:rsidR="00417076" w:rsidRPr="00E37FDD" w:rsidRDefault="00417076" w:rsidP="00417076">
            <w:pPr>
              <w:numPr>
                <w:ilvl w:val="0"/>
                <w:numId w:val="44"/>
              </w:numPr>
              <w:rPr>
                <w:szCs w:val="20"/>
              </w:rPr>
            </w:pPr>
            <w:r w:rsidRPr="00E37FDD">
              <w:rPr>
                <w:szCs w:val="20"/>
              </w:rPr>
              <w:t xml:space="preserve">The </w:t>
            </w:r>
            <w:r w:rsidR="00355358">
              <w:rPr>
                <w:szCs w:val="20"/>
              </w:rPr>
              <w:t>l</w:t>
            </w:r>
            <w:r w:rsidRPr="00E37FDD">
              <w:rPr>
                <w:szCs w:val="20"/>
              </w:rPr>
              <w:t xml:space="preserve">ender’s marketing material will be examined to assure the material being distributed to Veterans by the </w:t>
            </w:r>
            <w:r w:rsidR="00355358">
              <w:rPr>
                <w:szCs w:val="20"/>
              </w:rPr>
              <w:t>le</w:t>
            </w:r>
            <w:r w:rsidRPr="00E37FDD">
              <w:rPr>
                <w:szCs w:val="20"/>
              </w:rPr>
              <w:t xml:space="preserve">nders does not misrepresent or suggest the material is from VA. </w:t>
            </w:r>
          </w:p>
          <w:p w14:paraId="30EF0095" w14:textId="77777777" w:rsidR="00417076" w:rsidRPr="00E37FDD" w:rsidRDefault="00417076" w:rsidP="00417076">
            <w:pPr>
              <w:ind w:left="519"/>
              <w:rPr>
                <w:szCs w:val="20"/>
              </w:rPr>
            </w:pPr>
          </w:p>
          <w:p w14:paraId="09338AAA" w14:textId="7BC393D1" w:rsidR="00417076" w:rsidRDefault="00417076" w:rsidP="00BB4A32">
            <w:pPr>
              <w:pStyle w:val="BlockText"/>
            </w:pPr>
            <w:r w:rsidRPr="00E37FDD">
              <w:rPr>
                <w:szCs w:val="20"/>
                <w:u w:val="single"/>
              </w:rPr>
              <w:t>Special Note Regarding All Audits:</w:t>
            </w:r>
            <w:r w:rsidRPr="00E37FDD">
              <w:rPr>
                <w:szCs w:val="20"/>
              </w:rPr>
              <w:t xml:space="preserve">  Cases of suspected fraud on the part of the </w:t>
            </w:r>
            <w:r w:rsidR="00355358">
              <w:rPr>
                <w:szCs w:val="20"/>
              </w:rPr>
              <w:t>l</w:t>
            </w:r>
            <w:r w:rsidRPr="00E37FDD">
              <w:rPr>
                <w:szCs w:val="20"/>
              </w:rPr>
              <w:t>ender</w:t>
            </w:r>
            <w:r w:rsidR="00355358">
              <w:rPr>
                <w:szCs w:val="20"/>
              </w:rPr>
              <w:t>, s</w:t>
            </w:r>
            <w:r w:rsidRPr="00E37FDD">
              <w:rPr>
                <w:szCs w:val="20"/>
              </w:rPr>
              <w:t xml:space="preserve">ervicer, real-estate broker, or Veteran must never be discussed with the lender on-site.  Such items are referred to the OIG via </w:t>
            </w:r>
            <w:r w:rsidR="00AA5E6C">
              <w:rPr>
                <w:szCs w:val="20"/>
              </w:rPr>
              <w:t>f</w:t>
            </w:r>
            <w:r w:rsidRPr="00E37FDD">
              <w:rPr>
                <w:szCs w:val="20"/>
              </w:rPr>
              <w:t xml:space="preserve">raud </w:t>
            </w:r>
            <w:r w:rsidR="00BB4A32">
              <w:rPr>
                <w:szCs w:val="20"/>
              </w:rPr>
              <w:t>m</w:t>
            </w:r>
            <w:r w:rsidR="00BB4A32" w:rsidRPr="00E37FDD">
              <w:rPr>
                <w:szCs w:val="20"/>
              </w:rPr>
              <w:t>emo</w:t>
            </w:r>
            <w:r w:rsidR="00BB4A32">
              <w:rPr>
                <w:szCs w:val="20"/>
              </w:rPr>
              <w:t>randum through</w:t>
            </w:r>
            <w:r w:rsidRPr="00E37FDD">
              <w:rPr>
                <w:szCs w:val="20"/>
              </w:rPr>
              <w:t xml:space="preserve"> the MU Chief.</w:t>
            </w:r>
          </w:p>
        </w:tc>
      </w:tr>
      <w:bookmarkEnd w:id="26"/>
    </w:tbl>
    <w:p w14:paraId="085E1F59" w14:textId="064C408A" w:rsidR="00417076" w:rsidRDefault="00417076" w:rsidP="00417076">
      <w:pPr>
        <w:pStyle w:val="BlockLine"/>
      </w:pPr>
    </w:p>
    <w:tbl>
      <w:tblPr>
        <w:tblW w:w="9500" w:type="dxa"/>
        <w:tblLayout w:type="fixed"/>
        <w:tblLook w:val="0000" w:firstRow="0" w:lastRow="0" w:firstColumn="0" w:lastColumn="0" w:noHBand="0" w:noVBand="0"/>
      </w:tblPr>
      <w:tblGrid>
        <w:gridCol w:w="1728"/>
        <w:gridCol w:w="7772"/>
      </w:tblGrid>
      <w:tr w:rsidR="0089285D" w:rsidRPr="0089285D" w14:paraId="3E1EA237" w14:textId="77777777" w:rsidTr="0089285D">
        <w:tc>
          <w:tcPr>
            <w:tcW w:w="1728" w:type="dxa"/>
            <w:shd w:val="clear" w:color="auto" w:fill="auto"/>
          </w:tcPr>
          <w:p w14:paraId="3E1EA228" w14:textId="228CF3BD" w:rsidR="0089285D" w:rsidRPr="0089285D" w:rsidRDefault="0089285D" w:rsidP="002B0347">
            <w:pPr>
              <w:pStyle w:val="Heading5"/>
            </w:pPr>
            <w:bookmarkStart w:id="27" w:name="fs_a1Gmbq16QkUyN08jh0Ymo3w" w:colFirst="0" w:colLast="0"/>
            <w:r w:rsidRPr="0089285D">
              <w:t>b.</w:t>
            </w:r>
            <w:r w:rsidR="002B0347">
              <w:t xml:space="preserve"> </w:t>
            </w:r>
            <w:r w:rsidRPr="0089285D">
              <w:t>Servicer Audits</w:t>
            </w:r>
          </w:p>
        </w:tc>
        <w:tc>
          <w:tcPr>
            <w:tcW w:w="7772" w:type="dxa"/>
            <w:shd w:val="clear" w:color="auto" w:fill="auto"/>
          </w:tcPr>
          <w:p w14:paraId="34AAD3FC" w14:textId="146F681D" w:rsidR="00B552B4" w:rsidRDefault="00B552B4" w:rsidP="00B552B4">
            <w:pPr>
              <w:pStyle w:val="BulletText3"/>
              <w:numPr>
                <w:ilvl w:val="0"/>
                <w:numId w:val="0"/>
              </w:numPr>
            </w:pPr>
            <w:r>
              <w:t>The following should be reviewed in reference to servicer audits</w:t>
            </w:r>
            <w:r w:rsidR="002B0347">
              <w:t xml:space="preserve"> and servicer compliance</w:t>
            </w:r>
            <w:r>
              <w:t>:</w:t>
            </w:r>
          </w:p>
          <w:p w14:paraId="772F670E" w14:textId="77777777" w:rsidR="00B552B4" w:rsidRDefault="00B552B4" w:rsidP="00B552B4">
            <w:pPr>
              <w:pStyle w:val="BulletText3"/>
              <w:numPr>
                <w:ilvl w:val="0"/>
                <w:numId w:val="0"/>
              </w:numPr>
            </w:pPr>
          </w:p>
          <w:p w14:paraId="3E1EA22A" w14:textId="31567922" w:rsidR="0089285D" w:rsidRPr="0089285D" w:rsidRDefault="0089285D" w:rsidP="00EF4104">
            <w:pPr>
              <w:pStyle w:val="BulletText3"/>
              <w:numPr>
                <w:ilvl w:val="0"/>
                <w:numId w:val="45"/>
              </w:numPr>
              <w:ind w:left="702"/>
            </w:pPr>
            <w:r w:rsidRPr="0089285D">
              <w:t>Electronic Default Notifications</w:t>
            </w:r>
          </w:p>
          <w:p w14:paraId="3E1EA22B" w14:textId="5D71E1B8" w:rsidR="0089285D" w:rsidRPr="0089285D" w:rsidRDefault="0089285D" w:rsidP="00EF4104">
            <w:pPr>
              <w:pStyle w:val="BulletText3"/>
              <w:numPr>
                <w:ilvl w:val="0"/>
                <w:numId w:val="45"/>
              </w:numPr>
              <w:ind w:left="702"/>
            </w:pPr>
            <w:r w:rsidRPr="0089285D">
              <w:t>Delinquent Servicing</w:t>
            </w:r>
          </w:p>
          <w:p w14:paraId="3E1EA22C" w14:textId="74ED3DE9" w:rsidR="0089285D" w:rsidRPr="0089285D" w:rsidRDefault="0089285D" w:rsidP="00EF4104">
            <w:pPr>
              <w:pStyle w:val="BulletText3"/>
              <w:numPr>
                <w:ilvl w:val="0"/>
                <w:numId w:val="45"/>
              </w:numPr>
              <w:ind w:left="702"/>
            </w:pPr>
            <w:r w:rsidRPr="0089285D">
              <w:t>Property Inspection Requirements</w:t>
            </w:r>
          </w:p>
          <w:p w14:paraId="3E1EA22D" w14:textId="4C6D0D54" w:rsidR="0089285D" w:rsidRPr="0089285D" w:rsidRDefault="0089285D" w:rsidP="00EF4104">
            <w:pPr>
              <w:pStyle w:val="BulletText3"/>
              <w:numPr>
                <w:ilvl w:val="0"/>
                <w:numId w:val="45"/>
              </w:numPr>
              <w:ind w:left="702"/>
            </w:pPr>
            <w:r w:rsidRPr="0089285D">
              <w:t>Partial Payment Processing</w:t>
            </w:r>
          </w:p>
          <w:p w14:paraId="3E1EA22E" w14:textId="0EA528C2" w:rsidR="0089285D" w:rsidRPr="0089285D" w:rsidRDefault="0089285D" w:rsidP="00EF4104">
            <w:pPr>
              <w:pStyle w:val="BulletText3"/>
              <w:numPr>
                <w:ilvl w:val="0"/>
                <w:numId w:val="45"/>
              </w:numPr>
              <w:ind w:left="702"/>
            </w:pPr>
            <w:r w:rsidRPr="0089285D">
              <w:t>Loss Mitigation Options</w:t>
            </w:r>
          </w:p>
          <w:p w14:paraId="3E1EA22F" w14:textId="71195AC3" w:rsidR="0089285D" w:rsidRPr="0089285D" w:rsidRDefault="0089285D" w:rsidP="00EF4104">
            <w:pPr>
              <w:pStyle w:val="BulletText3"/>
              <w:numPr>
                <w:ilvl w:val="0"/>
                <w:numId w:val="45"/>
              </w:numPr>
              <w:ind w:left="702"/>
            </w:pPr>
            <w:r w:rsidRPr="0089285D">
              <w:t>Loss Mitigation Foreclosure Alternatives</w:t>
            </w:r>
          </w:p>
          <w:p w14:paraId="3E1EA230" w14:textId="14AEE2CA" w:rsidR="0089285D" w:rsidRPr="0089285D" w:rsidRDefault="0089285D" w:rsidP="00EF4104">
            <w:pPr>
              <w:pStyle w:val="BulletText3"/>
              <w:numPr>
                <w:ilvl w:val="0"/>
                <w:numId w:val="45"/>
              </w:numPr>
              <w:ind w:left="702"/>
            </w:pPr>
            <w:r w:rsidRPr="0089285D">
              <w:t>Foreclosure Notification Procedures</w:t>
            </w:r>
          </w:p>
          <w:p w14:paraId="3E1EA231" w14:textId="06F8DFD0" w:rsidR="0089285D" w:rsidRPr="0089285D" w:rsidRDefault="0089285D" w:rsidP="00EF4104">
            <w:pPr>
              <w:pStyle w:val="BulletText3"/>
              <w:numPr>
                <w:ilvl w:val="0"/>
                <w:numId w:val="45"/>
              </w:numPr>
              <w:ind w:left="702"/>
            </w:pPr>
            <w:r w:rsidRPr="0089285D">
              <w:t>Bankruptcy Notification Procedures</w:t>
            </w:r>
          </w:p>
          <w:p w14:paraId="3E1EA232" w14:textId="097FCD6F" w:rsidR="0089285D" w:rsidRPr="0089285D" w:rsidRDefault="0089285D" w:rsidP="00EF4104">
            <w:pPr>
              <w:pStyle w:val="BulletText3"/>
              <w:numPr>
                <w:ilvl w:val="0"/>
                <w:numId w:val="45"/>
              </w:numPr>
              <w:ind w:left="702"/>
            </w:pPr>
            <w:r w:rsidRPr="0089285D">
              <w:t>Maintenance of Escrow Account Procedures</w:t>
            </w:r>
          </w:p>
          <w:p w14:paraId="3E1EA233" w14:textId="240FB42C" w:rsidR="0089285D" w:rsidRPr="0089285D" w:rsidRDefault="0089285D" w:rsidP="00EF4104">
            <w:pPr>
              <w:pStyle w:val="BulletText3"/>
              <w:numPr>
                <w:ilvl w:val="0"/>
                <w:numId w:val="45"/>
              </w:numPr>
              <w:ind w:left="702"/>
            </w:pPr>
            <w:r w:rsidRPr="0089285D">
              <w:t>Assumption and Release of Liability Procedures</w:t>
            </w:r>
          </w:p>
          <w:p w14:paraId="3E1EA234" w14:textId="7D43909C" w:rsidR="0089285D" w:rsidRPr="0089285D" w:rsidRDefault="0089285D" w:rsidP="00EF4104">
            <w:pPr>
              <w:pStyle w:val="BulletText3"/>
              <w:numPr>
                <w:ilvl w:val="0"/>
                <w:numId w:val="45"/>
              </w:numPr>
              <w:ind w:left="702"/>
            </w:pPr>
            <w:r w:rsidRPr="0089285D">
              <w:t>Paid in Full Procedures</w:t>
            </w:r>
          </w:p>
          <w:p w14:paraId="3E1EA235" w14:textId="143CD852" w:rsidR="0089285D" w:rsidRPr="0089285D" w:rsidRDefault="0089285D" w:rsidP="00EF4104">
            <w:pPr>
              <w:pStyle w:val="BulletText3"/>
              <w:numPr>
                <w:ilvl w:val="0"/>
                <w:numId w:val="45"/>
              </w:numPr>
              <w:ind w:left="702"/>
            </w:pPr>
            <w:r w:rsidRPr="0089285D">
              <w:t>Claim Under Loan Guaranty Procedures</w:t>
            </w:r>
          </w:p>
          <w:p w14:paraId="3E1EA236" w14:textId="3C7FF73E" w:rsidR="0089285D" w:rsidRPr="0089285D" w:rsidRDefault="0089285D" w:rsidP="00EF4104">
            <w:pPr>
              <w:pStyle w:val="BulletText3"/>
              <w:numPr>
                <w:ilvl w:val="0"/>
                <w:numId w:val="45"/>
              </w:numPr>
              <w:ind w:left="702"/>
            </w:pPr>
            <w:r w:rsidRPr="0089285D">
              <w:t>Conveyance</w:t>
            </w:r>
          </w:p>
        </w:tc>
      </w:tr>
      <w:bookmarkEnd w:id="27"/>
    </w:tbl>
    <w:p w14:paraId="61F728F0" w14:textId="38505DA3" w:rsidR="00417076" w:rsidRDefault="00417076" w:rsidP="00417076">
      <w:pPr>
        <w:pStyle w:val="BlockLine"/>
      </w:pPr>
    </w:p>
    <w:p w14:paraId="59D79E97" w14:textId="77777777" w:rsidR="00F51EF0" w:rsidRDefault="00F51EF0" w:rsidP="00017DB3">
      <w:pPr>
        <w:pStyle w:val="Heading4"/>
      </w:pPr>
      <w:bookmarkStart w:id="28" w:name="fs_dcBhUdrbOEazrViTZOgOIw"/>
    </w:p>
    <w:p w14:paraId="3E1EA239" w14:textId="77777777" w:rsidR="0089285D" w:rsidRPr="0089285D" w:rsidRDefault="0089285D" w:rsidP="00017DB3">
      <w:pPr>
        <w:pStyle w:val="Heading4"/>
      </w:pPr>
      <w:r w:rsidRPr="0089285D">
        <w:lastRenderedPageBreak/>
        <w:t>5.  Reporting</w:t>
      </w:r>
    </w:p>
    <w:bookmarkEnd w:id="28"/>
    <w:p w14:paraId="3E1EA23A" w14:textId="77777777" w:rsidR="0089285D" w:rsidRDefault="0089285D" w:rsidP="0089285D">
      <w:pPr>
        <w:pStyle w:val="BlockLine"/>
      </w:pPr>
    </w:p>
    <w:tbl>
      <w:tblPr>
        <w:tblW w:w="0" w:type="auto"/>
        <w:tblLayout w:type="fixed"/>
        <w:tblLook w:val="0000" w:firstRow="0" w:lastRow="0" w:firstColumn="0" w:lastColumn="0" w:noHBand="0" w:noVBand="0"/>
      </w:tblPr>
      <w:tblGrid>
        <w:gridCol w:w="1728"/>
        <w:gridCol w:w="7740"/>
      </w:tblGrid>
      <w:tr w:rsidR="00B8507F" w:rsidRPr="00394D58" w14:paraId="78EB3F31" w14:textId="77777777" w:rsidTr="002172E1">
        <w:tc>
          <w:tcPr>
            <w:tcW w:w="1728" w:type="dxa"/>
            <w:shd w:val="clear" w:color="auto" w:fill="auto"/>
          </w:tcPr>
          <w:p w14:paraId="61F05FE7" w14:textId="77777777" w:rsidR="00B8507F" w:rsidRPr="00394D58" w:rsidRDefault="00B8507F" w:rsidP="002172E1">
            <w:pPr>
              <w:pStyle w:val="Heading5"/>
            </w:pPr>
            <w:bookmarkStart w:id="29" w:name="fs_Ko0kJPjal0ed3oOX0wXVqg" w:colFirst="0" w:colLast="0"/>
            <w:r>
              <w:t>Change Date</w:t>
            </w:r>
          </w:p>
        </w:tc>
        <w:tc>
          <w:tcPr>
            <w:tcW w:w="7740" w:type="dxa"/>
            <w:shd w:val="clear" w:color="auto" w:fill="auto"/>
          </w:tcPr>
          <w:p w14:paraId="5D9C1BA6" w14:textId="5B881D5D" w:rsidR="00B8507F" w:rsidRDefault="00207833" w:rsidP="002172E1">
            <w:pPr>
              <w:pStyle w:val="BlockText"/>
            </w:pPr>
            <w:r>
              <w:t>January 25, 2016</w:t>
            </w:r>
            <w:bookmarkStart w:id="30" w:name="_GoBack"/>
            <w:bookmarkEnd w:id="30"/>
            <w:r w:rsidR="00B8507F">
              <w:t>, Change 1</w:t>
            </w:r>
          </w:p>
          <w:p w14:paraId="48DD9D60" w14:textId="77777777" w:rsidR="00B8507F" w:rsidRPr="00394D58" w:rsidRDefault="00B8507F" w:rsidP="006D44CF">
            <w:pPr>
              <w:pStyle w:val="BulletText1"/>
              <w:tabs>
                <w:tab w:val="clear" w:pos="173"/>
              </w:tabs>
              <w:ind w:left="342" w:hanging="360"/>
            </w:pPr>
            <w:r>
              <w:t>This entire section has been updated.</w:t>
            </w:r>
          </w:p>
        </w:tc>
      </w:tr>
      <w:bookmarkEnd w:id="29"/>
    </w:tbl>
    <w:p w14:paraId="56656EA7" w14:textId="77777777" w:rsidR="00B8507F" w:rsidRDefault="00B8507F" w:rsidP="00B8507F">
      <w:pPr>
        <w:pStyle w:val="BlockLine"/>
      </w:pPr>
    </w:p>
    <w:tbl>
      <w:tblPr>
        <w:tblW w:w="9500" w:type="dxa"/>
        <w:tblLayout w:type="fixed"/>
        <w:tblLook w:val="0000" w:firstRow="0" w:lastRow="0" w:firstColumn="0" w:lastColumn="0" w:noHBand="0" w:noVBand="0"/>
      </w:tblPr>
      <w:tblGrid>
        <w:gridCol w:w="1728"/>
        <w:gridCol w:w="7772"/>
      </w:tblGrid>
      <w:tr w:rsidR="0089285D" w:rsidRPr="0089285D" w14:paraId="3E1EA250" w14:textId="77777777" w:rsidTr="002172E1">
        <w:tc>
          <w:tcPr>
            <w:tcW w:w="1728" w:type="dxa"/>
            <w:shd w:val="clear" w:color="auto" w:fill="auto"/>
          </w:tcPr>
          <w:p w14:paraId="3E1EA23B" w14:textId="298E1A5D" w:rsidR="002B0347" w:rsidRPr="002B0347" w:rsidRDefault="00417076" w:rsidP="002B0347">
            <w:pPr>
              <w:pStyle w:val="Heading5"/>
            </w:pPr>
            <w:bookmarkStart w:id="31" w:name="fs_SZRSOB0yUSQpm1xD2OWNA" w:colFirst="0" w:colLast="0"/>
            <w:r>
              <w:t>a. Finding Types</w:t>
            </w:r>
          </w:p>
        </w:tc>
        <w:tc>
          <w:tcPr>
            <w:tcW w:w="7772" w:type="dxa"/>
            <w:shd w:val="clear" w:color="auto" w:fill="auto"/>
          </w:tcPr>
          <w:p w14:paraId="4CDA363E" w14:textId="77777777" w:rsidR="00417076" w:rsidRPr="00E37FDD" w:rsidRDefault="00417076" w:rsidP="00417076">
            <w:pPr>
              <w:tabs>
                <w:tab w:val="left" w:pos="1363"/>
              </w:tabs>
            </w:pPr>
            <w:r w:rsidRPr="00E37FDD">
              <w:t>Findings reported will be classified into one of these categories:</w:t>
            </w:r>
          </w:p>
          <w:p w14:paraId="6A5FD3E5" w14:textId="77777777" w:rsidR="00417076" w:rsidRPr="00E37FDD" w:rsidRDefault="00417076" w:rsidP="00417076">
            <w:pPr>
              <w:tabs>
                <w:tab w:val="left" w:pos="1363"/>
              </w:tabs>
            </w:pPr>
          </w:p>
          <w:p w14:paraId="2E429B4F" w14:textId="5949B26B" w:rsidR="00417076" w:rsidRPr="00E37FDD" w:rsidRDefault="00417076" w:rsidP="006D44CF">
            <w:pPr>
              <w:pStyle w:val="ListParagraph"/>
              <w:numPr>
                <w:ilvl w:val="0"/>
                <w:numId w:val="52"/>
              </w:numPr>
            </w:pPr>
            <w:r w:rsidRPr="00E37FDD">
              <w:t xml:space="preserve">Closed action item – The deficiency is not a repeat finding based on any review during and since the last </w:t>
            </w:r>
            <w:r w:rsidR="00355358">
              <w:t>l</w:t>
            </w:r>
            <w:r w:rsidRPr="00E37FDD">
              <w:t>ender</w:t>
            </w:r>
            <w:r w:rsidR="00355358">
              <w:t xml:space="preserve"> or s</w:t>
            </w:r>
            <w:r w:rsidRPr="00E37FDD">
              <w:t xml:space="preserve">ervicer audit.  The </w:t>
            </w:r>
            <w:r w:rsidR="00355358">
              <w:t>l</w:t>
            </w:r>
            <w:r w:rsidRPr="00E37FDD">
              <w:t>ender</w:t>
            </w:r>
            <w:r w:rsidR="00355358">
              <w:t xml:space="preserve"> or s</w:t>
            </w:r>
            <w:r w:rsidRPr="00E37FDD">
              <w:t>ervicer has fully remedied all deficiencies when appropriate, during the on</w:t>
            </w:r>
            <w:r w:rsidR="003F54A9">
              <w:t>-</w:t>
            </w:r>
            <w:r w:rsidRPr="00E37FDD">
              <w:t xml:space="preserve">site visit by complying with policy. </w:t>
            </w:r>
          </w:p>
          <w:p w14:paraId="1106FB5C" w14:textId="39592E7B" w:rsidR="00417076" w:rsidRDefault="00417076" w:rsidP="006D44CF">
            <w:pPr>
              <w:pStyle w:val="ListParagraph"/>
              <w:numPr>
                <w:ilvl w:val="0"/>
                <w:numId w:val="52"/>
              </w:numPr>
            </w:pPr>
            <w:r w:rsidRPr="00E37FDD">
              <w:t xml:space="preserve">Open (non-repeat) action item – The deficiency is not a repeat finding based on any review during and since the last </w:t>
            </w:r>
            <w:r w:rsidR="003744FB">
              <w:t>l</w:t>
            </w:r>
            <w:r w:rsidRPr="00E37FDD">
              <w:t>ender</w:t>
            </w:r>
            <w:r w:rsidR="003744FB">
              <w:t xml:space="preserve"> or s</w:t>
            </w:r>
            <w:r w:rsidRPr="00E37FDD">
              <w:t xml:space="preserve">ervicer audit.  The </w:t>
            </w:r>
            <w:r w:rsidR="003744FB">
              <w:t>l</w:t>
            </w:r>
            <w:r w:rsidRPr="00E37FDD">
              <w:t>ender</w:t>
            </w:r>
            <w:r w:rsidR="003744FB">
              <w:t xml:space="preserve"> or s</w:t>
            </w:r>
            <w:r w:rsidRPr="00E37FDD">
              <w:t>ervicer cannot remedy all deficiencies during the on</w:t>
            </w:r>
            <w:r w:rsidR="003F54A9">
              <w:t>-</w:t>
            </w:r>
            <w:r w:rsidRPr="00E37FDD">
              <w:t xml:space="preserve">site visit. </w:t>
            </w:r>
          </w:p>
          <w:p w14:paraId="3E1EA24F" w14:textId="006E4C66" w:rsidR="00417076" w:rsidRPr="0089285D" w:rsidRDefault="00417076" w:rsidP="006D44CF">
            <w:pPr>
              <w:pStyle w:val="ListParagraph"/>
              <w:numPr>
                <w:ilvl w:val="0"/>
                <w:numId w:val="52"/>
              </w:numPr>
            </w:pPr>
            <w:r w:rsidRPr="00E37FDD">
              <w:t xml:space="preserve">Open (repeat) action item – The deficiency is a repeat finding based on any review during and since the last </w:t>
            </w:r>
            <w:r w:rsidR="003744FB">
              <w:t>l</w:t>
            </w:r>
            <w:r w:rsidRPr="00E37FDD">
              <w:t>ender</w:t>
            </w:r>
            <w:r w:rsidR="003744FB">
              <w:t xml:space="preserve"> or s</w:t>
            </w:r>
            <w:r w:rsidRPr="00E37FDD">
              <w:t xml:space="preserve">ervicer audit, and therefore, it will remain open until the next audit.  However, the </w:t>
            </w:r>
            <w:r w:rsidR="003744FB">
              <w:t>l</w:t>
            </w:r>
            <w:r w:rsidRPr="00E37FDD">
              <w:t>ender</w:t>
            </w:r>
            <w:r w:rsidR="003744FB">
              <w:t xml:space="preserve"> or s</w:t>
            </w:r>
            <w:r w:rsidRPr="00E37FDD">
              <w:t>ervicer will strive to remedy all deficiencies during the on</w:t>
            </w:r>
            <w:r w:rsidR="003F54A9">
              <w:t>-</w:t>
            </w:r>
            <w:r w:rsidRPr="00E37FDD">
              <w:t>site visit when appropriate, or provide milestones and projected completion date</w:t>
            </w:r>
            <w:r w:rsidR="003F54A9">
              <w:t>s</w:t>
            </w:r>
            <w:r w:rsidRPr="00E37FDD">
              <w:t>, requesting an extension from the audit team leader</w:t>
            </w:r>
            <w:r w:rsidR="003F54A9">
              <w:t xml:space="preserve"> if justifiable</w:t>
            </w:r>
            <w:r>
              <w:t>.</w:t>
            </w:r>
          </w:p>
        </w:tc>
      </w:tr>
      <w:bookmarkEnd w:id="31"/>
    </w:tbl>
    <w:p w14:paraId="3E1EA251" w14:textId="2171732C" w:rsidR="0089285D" w:rsidRDefault="0089285D" w:rsidP="0089285D">
      <w:pPr>
        <w:pStyle w:val="BlockLine"/>
      </w:pPr>
    </w:p>
    <w:tbl>
      <w:tblPr>
        <w:tblW w:w="9500" w:type="dxa"/>
        <w:tblLayout w:type="fixed"/>
        <w:tblLook w:val="0000" w:firstRow="0" w:lastRow="0" w:firstColumn="0" w:lastColumn="0" w:noHBand="0" w:noVBand="0"/>
      </w:tblPr>
      <w:tblGrid>
        <w:gridCol w:w="1728"/>
        <w:gridCol w:w="7772"/>
      </w:tblGrid>
      <w:tr w:rsidR="000D20DD" w14:paraId="7C36F673" w14:textId="77777777" w:rsidTr="00EE7FBF">
        <w:trPr>
          <w:trHeight w:val="4740"/>
        </w:trPr>
        <w:tc>
          <w:tcPr>
            <w:tcW w:w="1728" w:type="dxa"/>
            <w:vMerge w:val="restart"/>
            <w:shd w:val="clear" w:color="auto" w:fill="auto"/>
          </w:tcPr>
          <w:p w14:paraId="67A6CDA3" w14:textId="0A7D3C02" w:rsidR="000D20DD" w:rsidRDefault="000D20DD" w:rsidP="00417076">
            <w:pPr>
              <w:pStyle w:val="Heading5"/>
            </w:pPr>
            <w:bookmarkStart w:id="32" w:name="fs_puyLtwbjuEhKK5W1AeP3g" w:colFirst="0" w:colLast="0"/>
            <w:r>
              <w:t>b. Reporting Strategy</w:t>
            </w:r>
          </w:p>
        </w:tc>
        <w:tc>
          <w:tcPr>
            <w:tcW w:w="7772" w:type="dxa"/>
            <w:tcBorders>
              <w:bottom w:val="single" w:sz="4" w:space="0" w:color="auto"/>
            </w:tcBorders>
            <w:shd w:val="clear" w:color="auto" w:fill="auto"/>
          </w:tcPr>
          <w:p w14:paraId="7DF7816D" w14:textId="64D52458" w:rsidR="000D20DD" w:rsidRPr="00E37FDD" w:rsidRDefault="000D20DD" w:rsidP="00417076">
            <w:pPr>
              <w:tabs>
                <w:tab w:val="left" w:pos="1363"/>
              </w:tabs>
            </w:pPr>
            <w:r w:rsidRPr="00E37FDD">
              <w:t xml:space="preserve">The </w:t>
            </w:r>
            <w:r>
              <w:t>l</w:t>
            </w:r>
            <w:r w:rsidRPr="00E37FDD">
              <w:t>ender</w:t>
            </w:r>
            <w:r>
              <w:t xml:space="preserve"> or s</w:t>
            </w:r>
            <w:r w:rsidRPr="00E37FDD">
              <w:t xml:space="preserve">ervicer will have 7-calendar days from the date of MU’s exit briefing to respond to any action items, and provide any necessary supporting documents, if applicable.  LGY Monitoring Unit will review all lender responses and monitor the </w:t>
            </w:r>
            <w:r>
              <w:t>l</w:t>
            </w:r>
            <w:r w:rsidRPr="00E37FDD">
              <w:t>ender</w:t>
            </w:r>
            <w:r>
              <w:t xml:space="preserve"> or </w:t>
            </w:r>
            <w:proofErr w:type="gramStart"/>
            <w:r>
              <w:t>s</w:t>
            </w:r>
            <w:r w:rsidRPr="00E37FDD">
              <w:t>ervicer</w:t>
            </w:r>
            <w:r>
              <w:t xml:space="preserve"> </w:t>
            </w:r>
            <w:r w:rsidRPr="00E37FDD">
              <w:t xml:space="preserve"> progress</w:t>
            </w:r>
            <w:proofErr w:type="gramEnd"/>
            <w:r w:rsidRPr="00E37FDD">
              <w:t xml:space="preserve"> on any findings to determine if any open action items can be closed.  The </w:t>
            </w:r>
            <w:r>
              <w:t>l</w:t>
            </w:r>
            <w:r w:rsidRPr="00E37FDD">
              <w:t>ender</w:t>
            </w:r>
            <w:r>
              <w:t xml:space="preserve"> or s</w:t>
            </w:r>
            <w:r w:rsidRPr="00E37FDD">
              <w:t xml:space="preserve">ervicer will be notified by memorandum when any action item has been closed.  The final audit report will be issued approximately 60-calendar days after the completion of the </w:t>
            </w:r>
            <w:r>
              <w:t>l</w:t>
            </w:r>
            <w:r w:rsidRPr="00E37FDD">
              <w:t>ender</w:t>
            </w:r>
            <w:r>
              <w:t xml:space="preserve"> or s</w:t>
            </w:r>
            <w:r w:rsidRPr="00E37FDD">
              <w:t>ervicer audit, and will include an overview of open</w:t>
            </w:r>
            <w:r>
              <w:t xml:space="preserve"> and </w:t>
            </w:r>
            <w:r w:rsidRPr="00E37FDD">
              <w:t xml:space="preserve">closed action items, observations, and/or recommendations, along with a discussion of commendable best practices. </w:t>
            </w:r>
          </w:p>
          <w:p w14:paraId="1B2D2E02" w14:textId="77777777" w:rsidR="000D20DD" w:rsidRPr="00E37FDD" w:rsidRDefault="000D20DD" w:rsidP="00417076">
            <w:pPr>
              <w:tabs>
                <w:tab w:val="left" w:pos="1363"/>
              </w:tabs>
            </w:pPr>
          </w:p>
          <w:p w14:paraId="61745620" w14:textId="0240BE37" w:rsidR="000A6CB0" w:rsidRDefault="000D20DD" w:rsidP="00417076">
            <w:pPr>
              <w:tabs>
                <w:tab w:val="left" w:pos="1363"/>
              </w:tabs>
            </w:pPr>
            <w:r w:rsidRPr="00E37FDD">
              <w:t xml:space="preserve">The </w:t>
            </w:r>
            <w:r>
              <w:t>lender or s</w:t>
            </w:r>
            <w:r w:rsidRPr="00E37FDD">
              <w:t>ervicer should strive to cure any open action items while the audit team is on</w:t>
            </w:r>
            <w:r>
              <w:t>-</w:t>
            </w:r>
            <w:r w:rsidRPr="00E37FDD">
              <w:t xml:space="preserve">site.  If there are deficiency responses that the </w:t>
            </w:r>
            <w:r>
              <w:t>l</w:t>
            </w:r>
            <w:r w:rsidRPr="00E37FDD">
              <w:t>ender</w:t>
            </w:r>
            <w:r>
              <w:t xml:space="preserve"> or s</w:t>
            </w:r>
            <w:r w:rsidRPr="00E37FDD">
              <w:t>ervicer is unable to provide during the on</w:t>
            </w:r>
            <w:r>
              <w:t>-</w:t>
            </w:r>
            <w:r w:rsidRPr="00E37FDD">
              <w:t>site visit, an extension request should be made to MU management through the audit team leader.  Pending approval by MU management, an extension of up to 30-calendar days may be granted when warranted by the circumstance of the deficiency.</w:t>
            </w:r>
          </w:p>
          <w:p w14:paraId="1CCF9700" w14:textId="77777777" w:rsidR="000A6CB0" w:rsidRPr="006D44CF" w:rsidRDefault="000A6CB0" w:rsidP="00417076">
            <w:pPr>
              <w:tabs>
                <w:tab w:val="left" w:pos="1363"/>
              </w:tabs>
              <w:rPr>
                <w:sz w:val="4"/>
                <w:szCs w:val="4"/>
              </w:rPr>
            </w:pPr>
          </w:p>
          <w:p w14:paraId="052BCBD2" w14:textId="4718F73F" w:rsidR="000D20DD" w:rsidRDefault="000D20DD" w:rsidP="00417076">
            <w:pPr>
              <w:tabs>
                <w:tab w:val="left" w:pos="1363"/>
              </w:tabs>
            </w:pPr>
            <w:r w:rsidRPr="00E37FDD">
              <w:t xml:space="preserve"> </w:t>
            </w:r>
          </w:p>
        </w:tc>
      </w:tr>
      <w:tr w:rsidR="000D20DD" w14:paraId="63D0C7BE" w14:textId="77777777" w:rsidTr="006D44CF">
        <w:trPr>
          <w:trHeight w:val="341"/>
        </w:trPr>
        <w:tc>
          <w:tcPr>
            <w:tcW w:w="1728" w:type="dxa"/>
            <w:vMerge/>
            <w:shd w:val="clear" w:color="auto" w:fill="auto"/>
          </w:tcPr>
          <w:p w14:paraId="3A3F734B" w14:textId="77777777" w:rsidR="000D20DD" w:rsidRDefault="000D20DD" w:rsidP="00417076">
            <w:pPr>
              <w:pStyle w:val="Heading5"/>
            </w:pPr>
          </w:p>
        </w:tc>
        <w:tc>
          <w:tcPr>
            <w:tcW w:w="7772" w:type="dxa"/>
            <w:tcBorders>
              <w:top w:val="single" w:sz="4" w:space="0" w:color="auto"/>
            </w:tcBorders>
            <w:shd w:val="clear" w:color="auto" w:fill="auto"/>
          </w:tcPr>
          <w:p w14:paraId="2F36C92E" w14:textId="3BFCFF76" w:rsidR="000D20DD" w:rsidRPr="00E37FDD" w:rsidRDefault="00282366" w:rsidP="006D44CF">
            <w:pPr>
              <w:tabs>
                <w:tab w:val="left" w:pos="1363"/>
              </w:tabs>
              <w:spacing w:before="40"/>
              <w:ind w:right="-173"/>
            </w:pPr>
            <w:r>
              <w:rPr>
                <w:i/>
                <w:color w:val="auto"/>
                <w:sz w:val="20"/>
                <w:szCs w:val="20"/>
              </w:rPr>
              <w:t xml:space="preserve">                                                                                                                  </w:t>
            </w:r>
            <w:r w:rsidRPr="005E3BD3">
              <w:rPr>
                <w:i/>
                <w:color w:val="auto"/>
                <w:sz w:val="20"/>
                <w:szCs w:val="20"/>
              </w:rPr>
              <w:t>Continued on next page</w:t>
            </w:r>
          </w:p>
        </w:tc>
      </w:tr>
      <w:bookmarkEnd w:id="32"/>
    </w:tbl>
    <w:p w14:paraId="017054A8" w14:textId="77777777" w:rsidR="00417076" w:rsidRDefault="00417076" w:rsidP="00417076"/>
    <w:p w14:paraId="4D6C5A9E" w14:textId="50DD31F8" w:rsidR="00417076" w:rsidRDefault="00417076">
      <w:pPr>
        <w:spacing w:after="200" w:line="276" w:lineRule="auto"/>
      </w:pPr>
      <w:r>
        <w:br w:type="page"/>
      </w:r>
    </w:p>
    <w:p w14:paraId="1AC1E8BB" w14:textId="4AE43CC7" w:rsidR="00417076" w:rsidRDefault="00417076" w:rsidP="00151274">
      <w:pPr>
        <w:pStyle w:val="Heading4"/>
        <w:rPr>
          <w:b w:val="0"/>
          <w:sz w:val="24"/>
        </w:rPr>
      </w:pPr>
      <w:bookmarkStart w:id="33" w:name="fs_mGXCJh1mrk23oGMHIKxRA"/>
      <w:r w:rsidRPr="0089285D">
        <w:lastRenderedPageBreak/>
        <w:t>5.  Reporting</w:t>
      </w:r>
      <w:r>
        <w:t xml:space="preserve">, </w:t>
      </w:r>
      <w:r>
        <w:rPr>
          <w:b w:val="0"/>
          <w:sz w:val="24"/>
        </w:rPr>
        <w:t>Continued</w:t>
      </w:r>
    </w:p>
    <w:bookmarkEnd w:id="33"/>
    <w:p w14:paraId="30FC6E64" w14:textId="75339120" w:rsidR="00417076" w:rsidRDefault="00417076" w:rsidP="00151274">
      <w:pPr>
        <w:pStyle w:val="BlockLine"/>
      </w:pPr>
    </w:p>
    <w:tbl>
      <w:tblPr>
        <w:tblW w:w="9500" w:type="dxa"/>
        <w:tblLayout w:type="fixed"/>
        <w:tblLook w:val="0000" w:firstRow="0" w:lastRow="0" w:firstColumn="0" w:lastColumn="0" w:noHBand="0" w:noVBand="0"/>
      </w:tblPr>
      <w:tblGrid>
        <w:gridCol w:w="1728"/>
        <w:gridCol w:w="7772"/>
      </w:tblGrid>
      <w:tr w:rsidR="00151274" w14:paraId="5DE93E98" w14:textId="77777777" w:rsidTr="00151274">
        <w:tc>
          <w:tcPr>
            <w:tcW w:w="1728" w:type="dxa"/>
            <w:shd w:val="clear" w:color="auto" w:fill="auto"/>
          </w:tcPr>
          <w:p w14:paraId="1D6855B2" w14:textId="72BE3043" w:rsidR="00151274" w:rsidRDefault="0039414A" w:rsidP="00151274">
            <w:pPr>
              <w:pStyle w:val="Heading5"/>
            </w:pPr>
            <w:bookmarkStart w:id="34" w:name="fs_S95yyQg18kSR3GTVi3m5g" w:colFirst="0" w:colLast="0"/>
            <w:r>
              <w:t>b. Reporting Strategy, Continued</w:t>
            </w:r>
          </w:p>
        </w:tc>
        <w:tc>
          <w:tcPr>
            <w:tcW w:w="7772" w:type="dxa"/>
            <w:shd w:val="clear" w:color="auto" w:fill="auto"/>
          </w:tcPr>
          <w:p w14:paraId="5076489C" w14:textId="457FB181" w:rsidR="00151274" w:rsidRPr="00E37FDD" w:rsidRDefault="00151274" w:rsidP="00151274">
            <w:pPr>
              <w:tabs>
                <w:tab w:val="left" w:pos="1363"/>
              </w:tabs>
            </w:pPr>
            <w:r w:rsidRPr="00E37FDD">
              <w:t>VA may cite process deficiencies that are not material in nature, and are provided primarily as a training notice for the lender to correct on future loans.  However, some deficiencies are such that they compromise</w:t>
            </w:r>
            <w:r w:rsidR="000D20DD">
              <w:t xml:space="preserve"> the</w:t>
            </w:r>
            <w:r w:rsidRPr="00E37FDD">
              <w:t xml:space="preserve"> integrity </w:t>
            </w:r>
            <w:r w:rsidR="000D20DD">
              <w:t>of</w:t>
            </w:r>
            <w:r w:rsidR="000D20DD" w:rsidRPr="00E37FDD">
              <w:t xml:space="preserve"> </w:t>
            </w:r>
            <w:r w:rsidRPr="00E37FDD">
              <w:t>the origination and/or servicing process and must be addressed</w:t>
            </w:r>
            <w:r w:rsidR="000D20DD">
              <w:t xml:space="preserve"> immediately</w:t>
            </w:r>
            <w:r w:rsidRPr="00E37FDD">
              <w:t xml:space="preserve">.  A </w:t>
            </w:r>
            <w:r w:rsidR="00A853F9">
              <w:t>l</w:t>
            </w:r>
            <w:r w:rsidRPr="00E37FDD">
              <w:t>ender</w:t>
            </w:r>
            <w:r w:rsidR="00A853F9">
              <w:t xml:space="preserve"> or s</w:t>
            </w:r>
            <w:r w:rsidRPr="00E37FDD">
              <w:t xml:space="preserve">ervicer failure, either one-time or on a repetitive basis, to satisfactorily </w:t>
            </w:r>
            <w:r w:rsidR="000D20DD">
              <w:t>correct</w:t>
            </w:r>
            <w:r w:rsidR="000D20DD" w:rsidRPr="00E37FDD">
              <w:t xml:space="preserve"> </w:t>
            </w:r>
            <w:r w:rsidRPr="00E37FDD">
              <w:t>outstanding action items could result in any of the following:</w:t>
            </w:r>
          </w:p>
          <w:p w14:paraId="64CC5C24" w14:textId="77777777" w:rsidR="00151274" w:rsidRPr="00E37FDD" w:rsidRDefault="00151274" w:rsidP="00151274">
            <w:pPr>
              <w:tabs>
                <w:tab w:val="left" w:pos="1363"/>
              </w:tabs>
            </w:pPr>
          </w:p>
          <w:p w14:paraId="0EF7B842" w14:textId="77777777" w:rsidR="00151274" w:rsidRPr="00E37FDD" w:rsidRDefault="00151274" w:rsidP="00151274">
            <w:pPr>
              <w:numPr>
                <w:ilvl w:val="0"/>
                <w:numId w:val="46"/>
              </w:numPr>
              <w:ind w:left="702"/>
              <w:rPr>
                <w:szCs w:val="20"/>
              </w:rPr>
            </w:pPr>
            <w:r w:rsidRPr="00E37FDD">
              <w:rPr>
                <w:szCs w:val="20"/>
              </w:rPr>
              <w:t>VA may suspend random sampling reviews and require that all loans closed by a lender be submitted to VA for full review.</w:t>
            </w:r>
          </w:p>
          <w:p w14:paraId="50647406" w14:textId="4EC98E82" w:rsidR="00151274" w:rsidRPr="00E37FDD" w:rsidRDefault="00151274" w:rsidP="00151274">
            <w:pPr>
              <w:numPr>
                <w:ilvl w:val="0"/>
                <w:numId w:val="46"/>
              </w:numPr>
              <w:ind w:left="702"/>
              <w:rPr>
                <w:szCs w:val="20"/>
              </w:rPr>
            </w:pPr>
            <w:r w:rsidRPr="00E37FDD">
              <w:rPr>
                <w:szCs w:val="20"/>
              </w:rPr>
              <w:t>VA may suspend a lender’s automatic authority and require that all loans be submitted on prior approval basis.</w:t>
            </w:r>
          </w:p>
          <w:p w14:paraId="38C3DEED" w14:textId="77777777" w:rsidR="00151274" w:rsidRPr="00E37FDD" w:rsidRDefault="00151274" w:rsidP="00151274">
            <w:pPr>
              <w:numPr>
                <w:ilvl w:val="0"/>
                <w:numId w:val="46"/>
              </w:numPr>
              <w:ind w:left="702"/>
              <w:rPr>
                <w:szCs w:val="20"/>
              </w:rPr>
            </w:pPr>
            <w:r w:rsidRPr="00E37FDD">
              <w:rPr>
                <w:szCs w:val="20"/>
              </w:rPr>
              <w:t>VA may require the lender to indemnify VA against loss on a loan.</w:t>
            </w:r>
          </w:p>
          <w:p w14:paraId="0FD98AC4" w14:textId="77777777" w:rsidR="0065214E" w:rsidRDefault="00151274" w:rsidP="00151274">
            <w:pPr>
              <w:numPr>
                <w:ilvl w:val="0"/>
                <w:numId w:val="46"/>
              </w:numPr>
              <w:ind w:left="702"/>
              <w:rPr>
                <w:szCs w:val="20"/>
              </w:rPr>
            </w:pPr>
            <w:r w:rsidRPr="00E37FDD">
              <w:rPr>
                <w:szCs w:val="20"/>
              </w:rPr>
              <w:t>VA may determine that a loan is ineligible for guaranty.</w:t>
            </w:r>
          </w:p>
          <w:p w14:paraId="46AC5FEF" w14:textId="27AD3CFF" w:rsidR="00151274" w:rsidRPr="0065214E" w:rsidRDefault="00151274" w:rsidP="00151274">
            <w:pPr>
              <w:numPr>
                <w:ilvl w:val="0"/>
                <w:numId w:val="46"/>
              </w:numPr>
              <w:ind w:left="702"/>
              <w:rPr>
                <w:szCs w:val="20"/>
              </w:rPr>
            </w:pPr>
            <w:r w:rsidRPr="0065214E">
              <w:rPr>
                <w:szCs w:val="20"/>
              </w:rPr>
              <w:t>VA may impose other administrative sanctions.</w:t>
            </w:r>
          </w:p>
        </w:tc>
      </w:tr>
      <w:bookmarkEnd w:id="34"/>
    </w:tbl>
    <w:p w14:paraId="56537228" w14:textId="77777777" w:rsidR="00151274" w:rsidRPr="00151274" w:rsidRDefault="00151274" w:rsidP="00151274">
      <w:pPr>
        <w:pStyle w:val="BlockLine"/>
      </w:pPr>
    </w:p>
    <w:sectPr w:rsidR="00151274" w:rsidRPr="00151274" w:rsidSect="006D44CF">
      <w:headerReference w:type="even" r:id="rId18"/>
      <w:headerReference w:type="default" r:id="rId19"/>
      <w:footerReference w:type="even" r:id="rId20"/>
      <w:footerReference w:type="default" r:id="rId21"/>
      <w:pgSz w:w="12240" w:h="15840"/>
      <w:pgMar w:top="1440" w:right="1440" w:bottom="1080" w:left="1440" w:header="720" w:footer="8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EA254" w14:textId="77777777" w:rsidR="002172E1" w:rsidRDefault="002172E1" w:rsidP="002F0F70">
      <w:r>
        <w:separator/>
      </w:r>
    </w:p>
  </w:endnote>
  <w:endnote w:type="continuationSeparator" w:id="0">
    <w:p w14:paraId="3E1EA255" w14:textId="77777777" w:rsidR="002172E1" w:rsidRDefault="002172E1" w:rsidP="002F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EAB3" w14:textId="0B3E33EF" w:rsidR="002172E1" w:rsidRPr="006D44CF" w:rsidRDefault="002172E1">
    <w:pPr>
      <w:pStyle w:val="Footer"/>
      <w:rPr>
        <w:sz w:val="24"/>
      </w:rPr>
    </w:pPr>
    <w:r w:rsidRPr="006D44CF">
      <w:rPr>
        <w:sz w:val="24"/>
      </w:rPr>
      <w:t>5-</w:t>
    </w:r>
    <w:r w:rsidRPr="006D44CF">
      <w:rPr>
        <w:sz w:val="24"/>
      </w:rPr>
      <w:fldChar w:fldCharType="begin"/>
    </w:r>
    <w:r w:rsidRPr="006D44CF">
      <w:rPr>
        <w:sz w:val="24"/>
      </w:rPr>
      <w:instrText xml:space="preserve"> PAGE   \* MERGEFORMAT </w:instrText>
    </w:r>
    <w:r w:rsidRPr="006D44CF">
      <w:rPr>
        <w:sz w:val="24"/>
      </w:rPr>
      <w:fldChar w:fldCharType="separate"/>
    </w:r>
    <w:r w:rsidR="00207833">
      <w:rPr>
        <w:noProof/>
        <w:sz w:val="24"/>
      </w:rPr>
      <w:t>10</w:t>
    </w:r>
    <w:r w:rsidRPr="006D44CF">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EA25A" w14:textId="77777777" w:rsidR="002172E1" w:rsidRPr="006D44CF" w:rsidRDefault="002172E1" w:rsidP="002F0F70">
    <w:pPr>
      <w:tabs>
        <w:tab w:val="center" w:pos="4680"/>
        <w:tab w:val="right" w:pos="9360"/>
      </w:tabs>
      <w:jc w:val="right"/>
    </w:pPr>
    <w:r w:rsidRPr="006D44CF">
      <w:t>5-</w:t>
    </w:r>
    <w:r w:rsidRPr="006D44CF">
      <w:fldChar w:fldCharType="begin"/>
    </w:r>
    <w:r w:rsidRPr="006D44CF">
      <w:instrText xml:space="preserve"> PAGE </w:instrText>
    </w:r>
    <w:r w:rsidRPr="006D44CF">
      <w:fldChar w:fldCharType="separate"/>
    </w:r>
    <w:r w:rsidR="00207833">
      <w:rPr>
        <w:noProof/>
      </w:rPr>
      <w:t>11</w:t>
    </w:r>
    <w:r w:rsidRPr="006D44CF">
      <w:fldChar w:fldCharType="end"/>
    </w:r>
  </w:p>
  <w:p w14:paraId="3E1EA25B" w14:textId="77777777" w:rsidR="002172E1" w:rsidRDefault="00217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EA252" w14:textId="77777777" w:rsidR="002172E1" w:rsidRDefault="002172E1" w:rsidP="002F0F70">
      <w:r>
        <w:separator/>
      </w:r>
    </w:p>
  </w:footnote>
  <w:footnote w:type="continuationSeparator" w:id="0">
    <w:p w14:paraId="3E1EA253" w14:textId="77777777" w:rsidR="002172E1" w:rsidRDefault="002172E1" w:rsidP="002F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7679" w14:textId="77777777" w:rsidR="002172E1" w:rsidRPr="006D44CF" w:rsidRDefault="002172E1" w:rsidP="00017DB3">
    <w:pPr>
      <w:pStyle w:val="Header"/>
      <w:rPr>
        <w:i/>
        <w:sz w:val="24"/>
      </w:rPr>
    </w:pPr>
    <w:r w:rsidRPr="006D44CF">
      <w:rPr>
        <w:i/>
        <w:sz w:val="24"/>
      </w:rPr>
      <w:t xml:space="preserve">VA Manual 26-9, Revised </w:t>
    </w:r>
  </w:p>
  <w:p w14:paraId="0CE55690" w14:textId="6687D06E" w:rsidR="002172E1" w:rsidRPr="006D44CF" w:rsidRDefault="002172E1" w:rsidP="00017DB3">
    <w:pPr>
      <w:pStyle w:val="Header"/>
      <w:rPr>
        <w:i/>
        <w:sz w:val="24"/>
      </w:rPr>
    </w:pPr>
    <w:r w:rsidRPr="006D44CF">
      <w:rPr>
        <w:i/>
        <w:sz w:val="24"/>
      </w:rPr>
      <w:t>Chapter 5:  Monitoring Unit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EA256" w14:textId="68329C08" w:rsidR="002172E1" w:rsidRPr="006D44CF" w:rsidRDefault="002172E1" w:rsidP="002F0F70">
    <w:pPr>
      <w:tabs>
        <w:tab w:val="center" w:pos="4680"/>
        <w:tab w:val="right" w:pos="9270"/>
        <w:tab w:val="right" w:pos="9360"/>
      </w:tabs>
      <w:ind w:left="173"/>
      <w:jc w:val="right"/>
      <w:rPr>
        <w:i/>
        <w:iCs/>
      </w:rPr>
    </w:pPr>
    <w:r w:rsidRPr="006D44CF">
      <w:rPr>
        <w:i/>
        <w:iCs/>
      </w:rPr>
      <w:t xml:space="preserve">VA Manual 26-9, Revised </w:t>
    </w:r>
  </w:p>
  <w:p w14:paraId="3E1EA259" w14:textId="73DEC397" w:rsidR="002172E1" w:rsidRDefault="002172E1" w:rsidP="006D44CF">
    <w:pPr>
      <w:tabs>
        <w:tab w:val="center" w:pos="4680"/>
        <w:tab w:val="right" w:pos="9270"/>
        <w:tab w:val="right" w:pos="9360"/>
      </w:tabs>
      <w:ind w:left="173"/>
      <w:jc w:val="right"/>
    </w:pPr>
    <w:r w:rsidRPr="006830B6">
      <w:rPr>
        <w:i/>
        <w:iCs/>
      </w:rPr>
      <w:t>Chapter 5:  Monitoring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4916E"/>
    <w:lvl w:ilvl="0">
      <w:numFmt w:val="decimal"/>
      <w:lvlText w:val="*"/>
      <w:lvlJc w:val="left"/>
    </w:lvl>
  </w:abstractNum>
  <w:abstractNum w:abstractNumId="1">
    <w:nsid w:val="000D31B0"/>
    <w:multiLevelType w:val="hybridMultilevel"/>
    <w:tmpl w:val="DA26932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D6D0855C" w:tentative="1">
      <w:start w:val="1"/>
      <w:numFmt w:val="bullet"/>
      <w:lvlText w:val="·"/>
      <w:lvlJc w:val="left"/>
      <w:pPr>
        <w:tabs>
          <w:tab w:val="num" w:pos="1426"/>
        </w:tabs>
        <w:ind w:left="1426" w:hanging="346"/>
      </w:pPr>
      <w:rPr>
        <w:rFonts w:ascii="Symbol" w:hAnsi="Symbol"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F2238"/>
    <w:multiLevelType w:val="multilevel"/>
    <w:tmpl w:val="CBE0FF2C"/>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C4197C"/>
    <w:multiLevelType w:val="hybridMultilevel"/>
    <w:tmpl w:val="E50A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15BD0"/>
    <w:multiLevelType w:val="hybridMultilevel"/>
    <w:tmpl w:val="0D1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1137D"/>
    <w:multiLevelType w:val="hybridMultilevel"/>
    <w:tmpl w:val="A78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745E5"/>
    <w:multiLevelType w:val="multilevel"/>
    <w:tmpl w:val="4F5269D4"/>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173745"/>
    <w:multiLevelType w:val="hybridMultilevel"/>
    <w:tmpl w:val="3E14DCFA"/>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8">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E0445"/>
    <w:multiLevelType w:val="hybridMultilevel"/>
    <w:tmpl w:val="198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B6413"/>
    <w:multiLevelType w:val="multilevel"/>
    <w:tmpl w:val="071ACC6C"/>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C883DD0"/>
    <w:multiLevelType w:val="hybridMultilevel"/>
    <w:tmpl w:val="3FD8AB3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1D493A75"/>
    <w:multiLevelType w:val="multilevel"/>
    <w:tmpl w:val="B15EE454"/>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B216C5"/>
    <w:multiLevelType w:val="hybridMultilevel"/>
    <w:tmpl w:val="708AC422"/>
    <w:lvl w:ilvl="0" w:tplc="05144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A596E"/>
    <w:multiLevelType w:val="multilevel"/>
    <w:tmpl w:val="187EFF42"/>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8A0C55"/>
    <w:multiLevelType w:val="multilevel"/>
    <w:tmpl w:val="86340236"/>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5A325BA"/>
    <w:multiLevelType w:val="hybridMultilevel"/>
    <w:tmpl w:val="4238A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19">
    <w:nsid w:val="305150C6"/>
    <w:multiLevelType w:val="multilevel"/>
    <w:tmpl w:val="0ABE6720"/>
    <w:lvl w:ilvl="0">
      <w:start w:val="1"/>
      <w:numFmt w:val="bullet"/>
      <w:lvlText w:val=""/>
      <w:lvlJc w:val="left"/>
      <w:pPr>
        <w:tabs>
          <w:tab w:val="num" w:pos="533"/>
        </w:tabs>
        <w:ind w:left="533" w:hanging="1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A41C8B"/>
    <w:multiLevelType w:val="hybridMultilevel"/>
    <w:tmpl w:val="D51E96B8"/>
    <w:lvl w:ilvl="0" w:tplc="154EA8B8">
      <w:start w:val="1"/>
      <w:numFmt w:val="decimal"/>
      <w:pStyle w:val="NumberedList2"/>
      <w:lvlText w:val="%1)"/>
      <w:lvlJc w:val="left"/>
      <w:pPr>
        <w:ind w:left="360" w:hanging="360"/>
      </w:pPr>
    </w:lvl>
    <w:lvl w:ilvl="1" w:tplc="9D9019A6"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9A76D3"/>
    <w:multiLevelType w:val="multilevel"/>
    <w:tmpl w:val="78B05F10"/>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51F36E3"/>
    <w:multiLevelType w:val="hybridMultilevel"/>
    <w:tmpl w:val="B394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440D5"/>
    <w:multiLevelType w:val="hybridMultilevel"/>
    <w:tmpl w:val="BDA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329AA"/>
    <w:multiLevelType w:val="hybridMultilevel"/>
    <w:tmpl w:val="31F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64164"/>
    <w:multiLevelType w:val="hybridMultilevel"/>
    <w:tmpl w:val="9024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317BFA"/>
    <w:multiLevelType w:val="multilevel"/>
    <w:tmpl w:val="EFFC3A0E"/>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DA65B5A"/>
    <w:multiLevelType w:val="hybridMultilevel"/>
    <w:tmpl w:val="9D6A8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7C6BA6"/>
    <w:multiLevelType w:val="multilevel"/>
    <w:tmpl w:val="03F87C9A"/>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4313D48"/>
    <w:multiLevelType w:val="multilevel"/>
    <w:tmpl w:val="5DE201A4"/>
    <w:lvl w:ilvl="0">
      <w:start w:val="1"/>
      <w:numFmt w:val="bullet"/>
      <w:lvlText w:val=""/>
      <w:lvlJc w:val="left"/>
      <w:pPr>
        <w:tabs>
          <w:tab w:val="num" w:pos="533"/>
        </w:tabs>
        <w:ind w:left="533" w:hanging="1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8B1E83"/>
    <w:multiLevelType w:val="hybridMultilevel"/>
    <w:tmpl w:val="7E4C96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43B50"/>
    <w:multiLevelType w:val="hybridMultilevel"/>
    <w:tmpl w:val="42400C7A"/>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F6FE202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33">
    <w:nsid w:val="57755BA8"/>
    <w:multiLevelType w:val="multilevel"/>
    <w:tmpl w:val="1B420EF2"/>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60051"/>
    <w:multiLevelType w:val="multilevel"/>
    <w:tmpl w:val="29A06D48"/>
    <w:numStyleLink w:val="FSProStyle7"/>
  </w:abstractNum>
  <w:abstractNum w:abstractNumId="36">
    <w:nsid w:val="60346C51"/>
    <w:multiLevelType w:val="hybridMultilevel"/>
    <w:tmpl w:val="3800C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D36F9"/>
    <w:multiLevelType w:val="hybridMultilevel"/>
    <w:tmpl w:val="2F509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C62B5"/>
    <w:multiLevelType w:val="multilevel"/>
    <w:tmpl w:val="F5AE9B82"/>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DB3D68"/>
    <w:multiLevelType w:val="hybridMultilevel"/>
    <w:tmpl w:val="379CBF38"/>
    <w:lvl w:ilvl="0" w:tplc="7C765BA8">
      <w:start w:val="1"/>
      <w:numFmt w:val="bullet"/>
      <w:pStyle w:val="BulletText1"/>
      <w:lvlText w:val="·"/>
      <w:lvlJc w:val="left"/>
      <w:pPr>
        <w:tabs>
          <w:tab w:val="num" w:pos="173"/>
        </w:tabs>
        <w:ind w:left="173" w:hanging="17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A20A61"/>
    <w:multiLevelType w:val="hybridMultilevel"/>
    <w:tmpl w:val="9AE6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D83A02"/>
    <w:multiLevelType w:val="multilevel"/>
    <w:tmpl w:val="48AA17D2"/>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43">
    <w:nsid w:val="6B706EE5"/>
    <w:multiLevelType w:val="hybridMultilevel"/>
    <w:tmpl w:val="46AC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296FE1"/>
    <w:multiLevelType w:val="hybridMultilevel"/>
    <w:tmpl w:val="CC103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C2456"/>
    <w:multiLevelType w:val="multilevel"/>
    <w:tmpl w:val="B01CCFAE"/>
    <w:lvl w:ilvl="0">
      <w:start w:val="1"/>
      <w:numFmt w:val="bullet"/>
      <w:pStyle w:val="BulletText3"/>
      <w:lvlText w:val=""/>
      <w:lvlJc w:val="left"/>
      <w:pPr>
        <w:tabs>
          <w:tab w:val="num" w:pos="533"/>
        </w:tabs>
        <w:ind w:left="533" w:hanging="1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3334D1A"/>
    <w:multiLevelType w:val="multilevel"/>
    <w:tmpl w:val="51A48290"/>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3C22E18"/>
    <w:multiLevelType w:val="multilevel"/>
    <w:tmpl w:val="187EFF42"/>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7B07759"/>
    <w:multiLevelType w:val="hybridMultilevel"/>
    <w:tmpl w:val="D61A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1D79C9"/>
    <w:multiLevelType w:val="hybridMultilevel"/>
    <w:tmpl w:val="ECE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7860A0"/>
    <w:multiLevelType w:val="multilevel"/>
    <w:tmpl w:val="50740432"/>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F43091F"/>
    <w:multiLevelType w:val="multilevel"/>
    <w:tmpl w:val="549AF2E8"/>
    <w:lvl w:ilvl="0">
      <w:start w:val="1"/>
      <w:numFmt w:val="bullet"/>
      <w:lvlText w:val=""/>
      <w:lvlJc w:val="left"/>
      <w:pPr>
        <w:tabs>
          <w:tab w:val="num" w:pos="533"/>
        </w:tabs>
        <w:ind w:left="533" w:hanging="1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
  </w:num>
  <w:num w:numId="3">
    <w:abstractNumId w:val="45"/>
  </w:num>
  <w:num w:numId="4">
    <w:abstractNumId w:val="31"/>
  </w:num>
  <w:num w:numId="5">
    <w:abstractNumId w:val="42"/>
  </w:num>
  <w:num w:numId="6">
    <w:abstractNumId w:val="8"/>
  </w:num>
  <w:num w:numId="7">
    <w:abstractNumId w:val="14"/>
  </w:num>
  <w:num w:numId="8">
    <w:abstractNumId w:val="20"/>
  </w:num>
  <w:num w:numId="9">
    <w:abstractNumId w:val="34"/>
  </w:num>
  <w:num w:numId="10">
    <w:abstractNumId w:val="32"/>
  </w:num>
  <w:num w:numId="11">
    <w:abstractNumId w:val="18"/>
  </w:num>
  <w:num w:numId="12">
    <w:abstractNumId w:val="35"/>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5">
    <w:abstractNumId w:val="46"/>
  </w:num>
  <w:num w:numId="16">
    <w:abstractNumId w:val="28"/>
  </w:num>
  <w:num w:numId="17">
    <w:abstractNumId w:val="10"/>
  </w:num>
  <w:num w:numId="18">
    <w:abstractNumId w:val="38"/>
  </w:num>
  <w:num w:numId="19">
    <w:abstractNumId w:val="12"/>
  </w:num>
  <w:num w:numId="20">
    <w:abstractNumId w:val="2"/>
  </w:num>
  <w:num w:numId="21">
    <w:abstractNumId w:val="41"/>
  </w:num>
  <w:num w:numId="22">
    <w:abstractNumId w:val="9"/>
  </w:num>
  <w:num w:numId="23">
    <w:abstractNumId w:val="50"/>
  </w:num>
  <w:num w:numId="24">
    <w:abstractNumId w:val="26"/>
  </w:num>
  <w:num w:numId="25">
    <w:abstractNumId w:val="7"/>
  </w:num>
  <w:num w:numId="26">
    <w:abstractNumId w:val="21"/>
  </w:num>
  <w:num w:numId="27">
    <w:abstractNumId w:val="15"/>
  </w:num>
  <w:num w:numId="28">
    <w:abstractNumId w:val="47"/>
  </w:num>
  <w:num w:numId="29">
    <w:abstractNumId w:val="51"/>
  </w:num>
  <w:num w:numId="30">
    <w:abstractNumId w:val="29"/>
  </w:num>
  <w:num w:numId="31">
    <w:abstractNumId w:val="19"/>
  </w:num>
  <w:num w:numId="32">
    <w:abstractNumId w:val="16"/>
  </w:num>
  <w:num w:numId="33">
    <w:abstractNumId w:val="17"/>
  </w:num>
  <w:num w:numId="34">
    <w:abstractNumId w:val="37"/>
  </w:num>
  <w:num w:numId="35">
    <w:abstractNumId w:val="6"/>
  </w:num>
  <w:num w:numId="36">
    <w:abstractNumId w:val="33"/>
  </w:num>
  <w:num w:numId="37">
    <w:abstractNumId w:val="23"/>
  </w:num>
  <w:num w:numId="38">
    <w:abstractNumId w:val="25"/>
  </w:num>
  <w:num w:numId="39">
    <w:abstractNumId w:val="4"/>
  </w:num>
  <w:num w:numId="40">
    <w:abstractNumId w:val="40"/>
  </w:num>
  <w:num w:numId="41">
    <w:abstractNumId w:val="24"/>
  </w:num>
  <w:num w:numId="42">
    <w:abstractNumId w:val="44"/>
  </w:num>
  <w:num w:numId="43">
    <w:abstractNumId w:val="3"/>
  </w:num>
  <w:num w:numId="44">
    <w:abstractNumId w:val="43"/>
  </w:num>
  <w:num w:numId="45">
    <w:abstractNumId w:val="30"/>
  </w:num>
  <w:num w:numId="46">
    <w:abstractNumId w:val="11"/>
  </w:num>
  <w:num w:numId="47">
    <w:abstractNumId w:val="5"/>
  </w:num>
  <w:num w:numId="48">
    <w:abstractNumId w:val="49"/>
  </w:num>
  <w:num w:numId="49">
    <w:abstractNumId w:val="27"/>
  </w:num>
  <w:num w:numId="50">
    <w:abstractNumId w:val="13"/>
  </w:num>
  <w:num w:numId="51">
    <w:abstractNumId w:val="36"/>
  </w:num>
  <w:num w:numId="52">
    <w:abstractNumId w:val="48"/>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5D"/>
    <w:rsid w:val="00017DB3"/>
    <w:rsid w:val="000437E2"/>
    <w:rsid w:val="00075FBC"/>
    <w:rsid w:val="0008431D"/>
    <w:rsid w:val="000A6CB0"/>
    <w:rsid w:val="000C372E"/>
    <w:rsid w:val="000C663A"/>
    <w:rsid w:val="000D20DD"/>
    <w:rsid w:val="000E5C4B"/>
    <w:rsid w:val="000F124C"/>
    <w:rsid w:val="00112B06"/>
    <w:rsid w:val="001175F0"/>
    <w:rsid w:val="00151274"/>
    <w:rsid w:val="001573C1"/>
    <w:rsid w:val="001B61CB"/>
    <w:rsid w:val="001B71A3"/>
    <w:rsid w:val="00207833"/>
    <w:rsid w:val="002172E1"/>
    <w:rsid w:val="00236E60"/>
    <w:rsid w:val="00282366"/>
    <w:rsid w:val="002B0347"/>
    <w:rsid w:val="002F0F70"/>
    <w:rsid w:val="003218A7"/>
    <w:rsid w:val="00355358"/>
    <w:rsid w:val="003744FB"/>
    <w:rsid w:val="0037516B"/>
    <w:rsid w:val="003768F4"/>
    <w:rsid w:val="0039414A"/>
    <w:rsid w:val="003E072E"/>
    <w:rsid w:val="003F54A9"/>
    <w:rsid w:val="004026B7"/>
    <w:rsid w:val="00405BFD"/>
    <w:rsid w:val="00407D09"/>
    <w:rsid w:val="00417076"/>
    <w:rsid w:val="00423A5B"/>
    <w:rsid w:val="00450747"/>
    <w:rsid w:val="004C0CDD"/>
    <w:rsid w:val="004D4612"/>
    <w:rsid w:val="0053668B"/>
    <w:rsid w:val="00554B8F"/>
    <w:rsid w:val="00596C97"/>
    <w:rsid w:val="005A12E3"/>
    <w:rsid w:val="005E3BD3"/>
    <w:rsid w:val="005E4272"/>
    <w:rsid w:val="00625D17"/>
    <w:rsid w:val="006360C2"/>
    <w:rsid w:val="0065214E"/>
    <w:rsid w:val="006621E4"/>
    <w:rsid w:val="006830B6"/>
    <w:rsid w:val="006A1FDD"/>
    <w:rsid w:val="006C18A2"/>
    <w:rsid w:val="006C3A40"/>
    <w:rsid w:val="006D44CF"/>
    <w:rsid w:val="006E627C"/>
    <w:rsid w:val="006F0CAC"/>
    <w:rsid w:val="006F55CE"/>
    <w:rsid w:val="0071209D"/>
    <w:rsid w:val="00712471"/>
    <w:rsid w:val="0073102D"/>
    <w:rsid w:val="00731396"/>
    <w:rsid w:val="00741845"/>
    <w:rsid w:val="007616B3"/>
    <w:rsid w:val="00780211"/>
    <w:rsid w:val="007A67E0"/>
    <w:rsid w:val="007C0576"/>
    <w:rsid w:val="007C47FA"/>
    <w:rsid w:val="007E6159"/>
    <w:rsid w:val="007F1882"/>
    <w:rsid w:val="00801C8A"/>
    <w:rsid w:val="008551E3"/>
    <w:rsid w:val="0089285D"/>
    <w:rsid w:val="008A75EB"/>
    <w:rsid w:val="008F51AD"/>
    <w:rsid w:val="00953ABB"/>
    <w:rsid w:val="00955EB1"/>
    <w:rsid w:val="0095728F"/>
    <w:rsid w:val="00977A78"/>
    <w:rsid w:val="009C774E"/>
    <w:rsid w:val="009E37CD"/>
    <w:rsid w:val="00A263BC"/>
    <w:rsid w:val="00A57EDC"/>
    <w:rsid w:val="00A8178D"/>
    <w:rsid w:val="00A853F9"/>
    <w:rsid w:val="00AA5E6C"/>
    <w:rsid w:val="00AE44C8"/>
    <w:rsid w:val="00B00072"/>
    <w:rsid w:val="00B202BC"/>
    <w:rsid w:val="00B23A75"/>
    <w:rsid w:val="00B47523"/>
    <w:rsid w:val="00B552B4"/>
    <w:rsid w:val="00B802ED"/>
    <w:rsid w:val="00B8507F"/>
    <w:rsid w:val="00BA30C6"/>
    <w:rsid w:val="00BB4A32"/>
    <w:rsid w:val="00C22C2B"/>
    <w:rsid w:val="00C52DB2"/>
    <w:rsid w:val="00C64040"/>
    <w:rsid w:val="00C86A2C"/>
    <w:rsid w:val="00CC39D2"/>
    <w:rsid w:val="00CF50A1"/>
    <w:rsid w:val="00D612EF"/>
    <w:rsid w:val="00D6428A"/>
    <w:rsid w:val="00D70A2B"/>
    <w:rsid w:val="00D75EEA"/>
    <w:rsid w:val="00D76A62"/>
    <w:rsid w:val="00D82626"/>
    <w:rsid w:val="00D92906"/>
    <w:rsid w:val="00DA1DF0"/>
    <w:rsid w:val="00E16E7B"/>
    <w:rsid w:val="00E26A30"/>
    <w:rsid w:val="00E53F48"/>
    <w:rsid w:val="00E56F5D"/>
    <w:rsid w:val="00E753EE"/>
    <w:rsid w:val="00E94C3C"/>
    <w:rsid w:val="00EA1949"/>
    <w:rsid w:val="00ED1A92"/>
    <w:rsid w:val="00ED433D"/>
    <w:rsid w:val="00ED66FA"/>
    <w:rsid w:val="00EF02F7"/>
    <w:rsid w:val="00EF4104"/>
    <w:rsid w:val="00F10067"/>
    <w:rsid w:val="00F17D62"/>
    <w:rsid w:val="00F40323"/>
    <w:rsid w:val="00F51EF0"/>
    <w:rsid w:val="00F7471B"/>
    <w:rsid w:val="00F812E6"/>
    <w:rsid w:val="00FA3B99"/>
    <w:rsid w:val="00FC5072"/>
    <w:rsid w:val="00FD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E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5D"/>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1175F0"/>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1175F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1175F0"/>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175F0"/>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175F0"/>
    <w:pPr>
      <w:outlineLvl w:val="4"/>
    </w:pPr>
    <w:rPr>
      <w:b/>
      <w:sz w:val="22"/>
      <w:szCs w:val="20"/>
    </w:rPr>
  </w:style>
  <w:style w:type="paragraph" w:styleId="Heading6">
    <w:name w:val="heading 6"/>
    <w:aliases w:val="Sub Label"/>
    <w:basedOn w:val="Heading5"/>
    <w:next w:val="BlockText"/>
    <w:link w:val="Heading6Char"/>
    <w:rsid w:val="001175F0"/>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1175F0"/>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1175F0"/>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1175F0"/>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1175F0"/>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175F0"/>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1175F0"/>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89285D"/>
    <w:rPr>
      <w:rFonts w:ascii="Tahoma" w:hAnsi="Tahoma" w:cs="Tahoma"/>
      <w:sz w:val="16"/>
      <w:szCs w:val="16"/>
    </w:rPr>
  </w:style>
  <w:style w:type="character" w:customStyle="1" w:styleId="BalloonTextChar">
    <w:name w:val="Balloon Text Char"/>
    <w:basedOn w:val="DefaultParagraphFont"/>
    <w:link w:val="BalloonText"/>
    <w:semiHidden/>
    <w:rsid w:val="0089285D"/>
    <w:rPr>
      <w:rFonts w:ascii="Tahoma" w:eastAsia="Times New Roman" w:hAnsi="Tahoma" w:cs="Tahoma"/>
      <w:color w:val="000000"/>
      <w:sz w:val="16"/>
      <w:szCs w:val="16"/>
    </w:rPr>
  </w:style>
  <w:style w:type="paragraph" w:customStyle="1" w:styleId="BlockLine">
    <w:name w:val="Block Line"/>
    <w:basedOn w:val="Normal"/>
    <w:next w:val="Normal"/>
    <w:rsid w:val="001175F0"/>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1175F0"/>
  </w:style>
  <w:style w:type="paragraph" w:customStyle="1" w:styleId="BulletText1">
    <w:name w:val="Bullet Text 1"/>
    <w:basedOn w:val="Normal"/>
    <w:qFormat/>
    <w:rsid w:val="001175F0"/>
    <w:pPr>
      <w:numPr>
        <w:numId w:val="1"/>
      </w:numPr>
    </w:pPr>
    <w:rPr>
      <w:szCs w:val="20"/>
    </w:rPr>
  </w:style>
  <w:style w:type="paragraph" w:customStyle="1" w:styleId="BulletText2">
    <w:name w:val="Bullet Text 2"/>
    <w:basedOn w:val="Normal"/>
    <w:rsid w:val="001175F0"/>
    <w:pPr>
      <w:numPr>
        <w:numId w:val="2"/>
      </w:numPr>
      <w:ind w:left="346"/>
    </w:pPr>
    <w:rPr>
      <w:szCs w:val="20"/>
    </w:rPr>
  </w:style>
  <w:style w:type="paragraph" w:customStyle="1" w:styleId="BulletText3">
    <w:name w:val="Bullet Text 3"/>
    <w:basedOn w:val="Normal"/>
    <w:rsid w:val="001175F0"/>
    <w:pPr>
      <w:numPr>
        <w:numId w:val="3"/>
      </w:numPr>
      <w:ind w:left="519"/>
    </w:pPr>
    <w:rPr>
      <w:szCs w:val="20"/>
    </w:rPr>
  </w:style>
  <w:style w:type="paragraph" w:customStyle="1" w:styleId="ContinuedBlockLabel">
    <w:name w:val="Continued Block Label"/>
    <w:basedOn w:val="Normal"/>
    <w:next w:val="Normal"/>
    <w:rsid w:val="001175F0"/>
    <w:pPr>
      <w:spacing w:after="240"/>
    </w:pPr>
    <w:rPr>
      <w:b/>
      <w:sz w:val="22"/>
      <w:szCs w:val="20"/>
    </w:rPr>
  </w:style>
  <w:style w:type="paragraph" w:customStyle="1" w:styleId="EmbeddedText">
    <w:name w:val="Embedded Text"/>
    <w:basedOn w:val="Normal"/>
    <w:rsid w:val="0089285D"/>
    <w:rPr>
      <w:szCs w:val="20"/>
    </w:rPr>
  </w:style>
  <w:style w:type="character" w:styleId="HTMLAcronym">
    <w:name w:val="HTML Acronym"/>
    <w:basedOn w:val="DefaultParagraphFont"/>
    <w:rsid w:val="0089285D"/>
  </w:style>
  <w:style w:type="paragraph" w:customStyle="1" w:styleId="IMTOC">
    <w:name w:val="IMTOC"/>
    <w:rsid w:val="0089285D"/>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1175F0"/>
    <w:pPr>
      <w:spacing w:after="240"/>
    </w:pPr>
    <w:rPr>
      <w:rFonts w:ascii="Arial" w:hAnsi="Arial" w:cs="Arial"/>
      <w:b/>
      <w:sz w:val="32"/>
      <w:szCs w:val="20"/>
    </w:rPr>
  </w:style>
  <w:style w:type="paragraph" w:customStyle="1" w:styleId="MemoLine">
    <w:name w:val="Memo Line"/>
    <w:basedOn w:val="BlockLine"/>
    <w:next w:val="Normal"/>
    <w:rsid w:val="001175F0"/>
    <w:pPr>
      <w:ind w:left="0"/>
    </w:pPr>
  </w:style>
  <w:style w:type="paragraph" w:customStyle="1" w:styleId="NoteText">
    <w:name w:val="Note Text"/>
    <w:basedOn w:val="Normal"/>
    <w:rsid w:val="001175F0"/>
    <w:rPr>
      <w:szCs w:val="20"/>
    </w:rPr>
  </w:style>
  <w:style w:type="paragraph" w:customStyle="1" w:styleId="PublicationTitle">
    <w:name w:val="Publication Title"/>
    <w:basedOn w:val="Normal"/>
    <w:next w:val="Heading4"/>
    <w:rsid w:val="001175F0"/>
    <w:pPr>
      <w:spacing w:after="240"/>
      <w:jc w:val="center"/>
    </w:pPr>
    <w:rPr>
      <w:rFonts w:ascii="Arial" w:hAnsi="Arial" w:cs="Arial"/>
      <w:b/>
      <w:sz w:val="32"/>
      <w:szCs w:val="20"/>
    </w:rPr>
  </w:style>
  <w:style w:type="table" w:styleId="TableGrid">
    <w:name w:val="Table Grid"/>
    <w:basedOn w:val="TableNormal"/>
    <w:rsid w:val="0089285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175F0"/>
    <w:pPr>
      <w:jc w:val="center"/>
    </w:pPr>
    <w:rPr>
      <w:b/>
      <w:szCs w:val="20"/>
    </w:rPr>
  </w:style>
  <w:style w:type="paragraph" w:customStyle="1" w:styleId="TableText">
    <w:name w:val="Table Text"/>
    <w:basedOn w:val="Normal"/>
    <w:qFormat/>
    <w:rsid w:val="001175F0"/>
    <w:rPr>
      <w:szCs w:val="20"/>
    </w:rPr>
  </w:style>
  <w:style w:type="paragraph" w:customStyle="1" w:styleId="TOCTitle">
    <w:name w:val="TOC Title"/>
    <w:basedOn w:val="Normal"/>
    <w:rsid w:val="001175F0"/>
    <w:pPr>
      <w:widowControl w:val="0"/>
    </w:pPr>
    <w:rPr>
      <w:rFonts w:ascii="Arial" w:hAnsi="Arial" w:cs="Arial"/>
      <w:b/>
      <w:sz w:val="32"/>
      <w:szCs w:val="20"/>
    </w:rPr>
  </w:style>
  <w:style w:type="paragraph" w:customStyle="1" w:styleId="TOCItem">
    <w:name w:val="TOCItem"/>
    <w:basedOn w:val="Normal"/>
    <w:rsid w:val="0089285D"/>
    <w:pPr>
      <w:tabs>
        <w:tab w:val="left" w:leader="dot" w:pos="7061"/>
        <w:tab w:val="right" w:pos="7524"/>
      </w:tabs>
      <w:spacing w:before="60" w:after="60"/>
      <w:ind w:right="465"/>
    </w:pPr>
    <w:rPr>
      <w:szCs w:val="20"/>
    </w:rPr>
  </w:style>
  <w:style w:type="paragraph" w:customStyle="1" w:styleId="TOCStem">
    <w:name w:val="TOCStem"/>
    <w:basedOn w:val="Normal"/>
    <w:rsid w:val="0089285D"/>
    <w:rPr>
      <w:szCs w:val="20"/>
    </w:rPr>
  </w:style>
  <w:style w:type="paragraph" w:styleId="ListParagraph">
    <w:name w:val="List Paragraph"/>
    <w:basedOn w:val="Normal"/>
    <w:uiPriority w:val="34"/>
    <w:qFormat/>
    <w:rsid w:val="0089285D"/>
    <w:pPr>
      <w:ind w:left="720"/>
      <w:contextualSpacing/>
    </w:pPr>
  </w:style>
  <w:style w:type="character" w:styleId="FollowedHyperlink">
    <w:name w:val="FollowedHyperlink"/>
    <w:rsid w:val="0089285D"/>
    <w:rPr>
      <w:color w:val="800080"/>
      <w:u w:val="single"/>
    </w:rPr>
  </w:style>
  <w:style w:type="paragraph" w:styleId="Footer">
    <w:name w:val="footer"/>
    <w:basedOn w:val="Normal"/>
    <w:link w:val="FooterChar"/>
    <w:rsid w:val="001175F0"/>
    <w:pPr>
      <w:tabs>
        <w:tab w:val="center" w:pos="4680"/>
        <w:tab w:val="right" w:pos="9360"/>
      </w:tabs>
    </w:pPr>
    <w:rPr>
      <w:sz w:val="20"/>
    </w:rPr>
  </w:style>
  <w:style w:type="character" w:customStyle="1" w:styleId="FooterChar">
    <w:name w:val="Footer Char"/>
    <w:link w:val="Footer"/>
    <w:rsid w:val="001175F0"/>
    <w:rPr>
      <w:rFonts w:ascii="Times New Roman" w:eastAsia="Times New Roman" w:hAnsi="Times New Roman" w:cs="Times New Roman"/>
      <w:color w:val="000000"/>
      <w:sz w:val="20"/>
      <w:szCs w:val="24"/>
    </w:rPr>
  </w:style>
  <w:style w:type="paragraph" w:styleId="Header">
    <w:name w:val="header"/>
    <w:basedOn w:val="Normal"/>
    <w:link w:val="HeaderChar"/>
    <w:rsid w:val="001175F0"/>
    <w:pPr>
      <w:tabs>
        <w:tab w:val="center" w:pos="4680"/>
        <w:tab w:val="right" w:pos="9360"/>
      </w:tabs>
    </w:pPr>
    <w:rPr>
      <w:sz w:val="20"/>
    </w:rPr>
  </w:style>
  <w:style w:type="character" w:customStyle="1" w:styleId="HeaderChar">
    <w:name w:val="Header Char"/>
    <w:link w:val="Header"/>
    <w:rsid w:val="001175F0"/>
    <w:rPr>
      <w:rFonts w:ascii="Times New Roman" w:eastAsia="Times New Roman" w:hAnsi="Times New Roman" w:cs="Times New Roman"/>
      <w:color w:val="000000"/>
      <w:sz w:val="20"/>
      <w:szCs w:val="24"/>
    </w:rPr>
  </w:style>
  <w:style w:type="character" w:styleId="Hyperlink">
    <w:name w:val="Hyperlink"/>
    <w:uiPriority w:val="99"/>
    <w:rsid w:val="0089285D"/>
    <w:rPr>
      <w:color w:val="0000FF"/>
      <w:u w:val="single"/>
    </w:rPr>
  </w:style>
  <w:style w:type="paragraph" w:styleId="TOC3">
    <w:name w:val="toc 3"/>
    <w:basedOn w:val="Normal"/>
    <w:next w:val="Normal"/>
    <w:autoRedefine/>
    <w:uiPriority w:val="39"/>
    <w:rsid w:val="0089285D"/>
    <w:pPr>
      <w:ind w:left="480"/>
    </w:pPr>
  </w:style>
  <w:style w:type="paragraph" w:styleId="TOC4">
    <w:name w:val="toc 4"/>
    <w:basedOn w:val="Normal"/>
    <w:next w:val="Normal"/>
    <w:autoRedefine/>
    <w:uiPriority w:val="39"/>
    <w:rsid w:val="0089285D"/>
    <w:pPr>
      <w:ind w:left="720"/>
    </w:pPr>
  </w:style>
  <w:style w:type="paragraph" w:customStyle="1" w:styleId="NumberedList1">
    <w:name w:val="Numbered List 1"/>
    <w:basedOn w:val="BulletText1"/>
    <w:qFormat/>
    <w:rsid w:val="001175F0"/>
    <w:pPr>
      <w:numPr>
        <w:numId w:val="9"/>
      </w:numPr>
      <w:tabs>
        <w:tab w:val="left" w:pos="173"/>
      </w:tabs>
      <w:ind w:left="360"/>
    </w:pPr>
    <w:rPr>
      <w:noProof/>
    </w:rPr>
  </w:style>
  <w:style w:type="paragraph" w:customStyle="1" w:styleId="NumberedList2">
    <w:name w:val="Numbered List 2"/>
    <w:basedOn w:val="NumberedList1"/>
    <w:qFormat/>
    <w:rsid w:val="001175F0"/>
    <w:pPr>
      <w:numPr>
        <w:numId w:val="8"/>
      </w:numPr>
      <w:tabs>
        <w:tab w:val="clear" w:pos="173"/>
        <w:tab w:val="left" w:pos="346"/>
      </w:tabs>
      <w:ind w:left="720"/>
    </w:pPr>
  </w:style>
  <w:style w:type="paragraph" w:customStyle="1" w:styleId="NumberedList3">
    <w:name w:val="Numbered List 3"/>
    <w:basedOn w:val="NumberedList2"/>
    <w:qFormat/>
    <w:rsid w:val="001175F0"/>
    <w:pPr>
      <w:numPr>
        <w:numId w:val="10"/>
      </w:numPr>
      <w:tabs>
        <w:tab w:val="clear" w:pos="346"/>
        <w:tab w:val="left" w:pos="518"/>
      </w:tabs>
    </w:pPr>
  </w:style>
  <w:style w:type="paragraph" w:customStyle="1" w:styleId="ContinuedTableLabel">
    <w:name w:val="Continued Table Label"/>
    <w:basedOn w:val="Normal"/>
    <w:next w:val="Normal"/>
    <w:rsid w:val="001175F0"/>
    <w:pPr>
      <w:spacing w:after="240"/>
    </w:pPr>
    <w:rPr>
      <w:b/>
      <w:sz w:val="22"/>
      <w:szCs w:val="20"/>
    </w:rPr>
  </w:style>
  <w:style w:type="numbering" w:customStyle="1" w:styleId="FSProStyle7">
    <w:name w:val="FSProStyle7"/>
    <w:uiPriority w:val="99"/>
    <w:rsid w:val="0089285D"/>
    <w:pPr>
      <w:numPr>
        <w:numId w:val="11"/>
      </w:numPr>
    </w:pPr>
  </w:style>
  <w:style w:type="paragraph" w:styleId="TOC1">
    <w:name w:val="toc 1"/>
    <w:basedOn w:val="Normal"/>
    <w:next w:val="Normal"/>
    <w:autoRedefine/>
    <w:uiPriority w:val="39"/>
    <w:semiHidden/>
    <w:unhideWhenUsed/>
    <w:rsid w:val="0089285D"/>
    <w:pPr>
      <w:spacing w:after="100"/>
    </w:pPr>
  </w:style>
  <w:style w:type="paragraph" w:styleId="TOC2">
    <w:name w:val="toc 2"/>
    <w:basedOn w:val="Normal"/>
    <w:next w:val="Normal"/>
    <w:autoRedefine/>
    <w:uiPriority w:val="39"/>
    <w:semiHidden/>
    <w:unhideWhenUsed/>
    <w:rsid w:val="0089285D"/>
    <w:pPr>
      <w:spacing w:after="100"/>
      <w:ind w:left="240"/>
    </w:pPr>
  </w:style>
  <w:style w:type="paragraph" w:styleId="TOC5">
    <w:name w:val="toc 5"/>
    <w:basedOn w:val="Normal"/>
    <w:next w:val="Normal"/>
    <w:autoRedefine/>
    <w:uiPriority w:val="39"/>
    <w:semiHidden/>
    <w:unhideWhenUsed/>
    <w:rsid w:val="0089285D"/>
    <w:pPr>
      <w:spacing w:after="100"/>
      <w:ind w:left="960"/>
    </w:pPr>
  </w:style>
  <w:style w:type="paragraph" w:styleId="TOC6">
    <w:name w:val="toc 6"/>
    <w:basedOn w:val="Normal"/>
    <w:next w:val="Normal"/>
    <w:autoRedefine/>
    <w:uiPriority w:val="39"/>
    <w:semiHidden/>
    <w:unhideWhenUsed/>
    <w:rsid w:val="0089285D"/>
    <w:pPr>
      <w:spacing w:after="100"/>
      <w:ind w:left="1200"/>
    </w:pPr>
  </w:style>
  <w:style w:type="paragraph" w:styleId="TOC7">
    <w:name w:val="toc 7"/>
    <w:basedOn w:val="Normal"/>
    <w:next w:val="Normal"/>
    <w:autoRedefine/>
    <w:uiPriority w:val="39"/>
    <w:semiHidden/>
    <w:unhideWhenUsed/>
    <w:rsid w:val="0089285D"/>
    <w:pPr>
      <w:spacing w:after="100"/>
      <w:ind w:left="1440"/>
    </w:pPr>
  </w:style>
  <w:style w:type="paragraph" w:styleId="TOC8">
    <w:name w:val="toc 8"/>
    <w:basedOn w:val="Normal"/>
    <w:next w:val="Normal"/>
    <w:autoRedefine/>
    <w:uiPriority w:val="39"/>
    <w:semiHidden/>
    <w:unhideWhenUsed/>
    <w:rsid w:val="0089285D"/>
    <w:pPr>
      <w:spacing w:after="100"/>
      <w:ind w:left="1680"/>
    </w:pPr>
  </w:style>
  <w:style w:type="paragraph" w:styleId="TOC9">
    <w:name w:val="toc 9"/>
    <w:basedOn w:val="Normal"/>
    <w:next w:val="Normal"/>
    <w:autoRedefine/>
    <w:uiPriority w:val="39"/>
    <w:semiHidden/>
    <w:unhideWhenUsed/>
    <w:rsid w:val="0089285D"/>
    <w:pPr>
      <w:spacing w:after="100"/>
      <w:ind w:left="1920"/>
    </w:pPr>
  </w:style>
  <w:style w:type="character" w:styleId="CommentReference">
    <w:name w:val="annotation reference"/>
    <w:basedOn w:val="DefaultParagraphFont"/>
    <w:uiPriority w:val="99"/>
    <w:semiHidden/>
    <w:unhideWhenUsed/>
    <w:rsid w:val="008551E3"/>
    <w:rPr>
      <w:sz w:val="16"/>
      <w:szCs w:val="16"/>
    </w:rPr>
  </w:style>
  <w:style w:type="paragraph" w:styleId="CommentText">
    <w:name w:val="annotation text"/>
    <w:basedOn w:val="Normal"/>
    <w:link w:val="CommentTextChar"/>
    <w:uiPriority w:val="99"/>
    <w:semiHidden/>
    <w:unhideWhenUsed/>
    <w:rsid w:val="008551E3"/>
    <w:rPr>
      <w:sz w:val="20"/>
      <w:szCs w:val="20"/>
    </w:rPr>
  </w:style>
  <w:style w:type="character" w:customStyle="1" w:styleId="CommentTextChar">
    <w:name w:val="Comment Text Char"/>
    <w:basedOn w:val="DefaultParagraphFont"/>
    <w:link w:val="CommentText"/>
    <w:uiPriority w:val="99"/>
    <w:semiHidden/>
    <w:rsid w:val="008551E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551E3"/>
    <w:rPr>
      <w:b/>
      <w:bCs/>
    </w:rPr>
  </w:style>
  <w:style w:type="character" w:customStyle="1" w:styleId="CommentSubjectChar">
    <w:name w:val="Comment Subject Char"/>
    <w:basedOn w:val="CommentTextChar"/>
    <w:link w:val="CommentSubject"/>
    <w:uiPriority w:val="99"/>
    <w:semiHidden/>
    <w:rsid w:val="008551E3"/>
    <w:rPr>
      <w:rFonts w:ascii="Times New Roman" w:eastAsia="Times New Roman" w:hAnsi="Times New Roman" w:cs="Times New Roman"/>
      <w:b/>
      <w:bCs/>
      <w:color w:val="000000"/>
      <w:sz w:val="20"/>
      <w:szCs w:val="20"/>
    </w:rPr>
  </w:style>
  <w:style w:type="paragraph" w:styleId="TableofFigures">
    <w:name w:val="table of figures"/>
    <w:basedOn w:val="Normal"/>
    <w:next w:val="Normal"/>
    <w:uiPriority w:val="99"/>
    <w:semiHidden/>
    <w:unhideWhenUsed/>
    <w:rsid w:val="00017DB3"/>
  </w:style>
  <w:style w:type="character" w:customStyle="1" w:styleId="BlockTextChar">
    <w:name w:val="Block Text Char"/>
    <w:basedOn w:val="DefaultParagraphFont"/>
    <w:link w:val="BlockText"/>
    <w:rsid w:val="001175F0"/>
    <w:rPr>
      <w:rFonts w:ascii="Times New Roman" w:eastAsia="Times New Roman" w:hAnsi="Times New Roman" w:cs="Times New Roman"/>
      <w:color w:val="000000"/>
      <w:sz w:val="24"/>
      <w:szCs w:val="24"/>
    </w:rPr>
  </w:style>
  <w:style w:type="paragraph" w:styleId="Revision">
    <w:name w:val="Revision"/>
    <w:hidden/>
    <w:uiPriority w:val="99"/>
    <w:semiHidden/>
    <w:rsid w:val="005E4272"/>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5D"/>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1175F0"/>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1175F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1175F0"/>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175F0"/>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175F0"/>
    <w:pPr>
      <w:outlineLvl w:val="4"/>
    </w:pPr>
    <w:rPr>
      <w:b/>
      <w:sz w:val="22"/>
      <w:szCs w:val="20"/>
    </w:rPr>
  </w:style>
  <w:style w:type="paragraph" w:styleId="Heading6">
    <w:name w:val="heading 6"/>
    <w:aliases w:val="Sub Label"/>
    <w:basedOn w:val="Heading5"/>
    <w:next w:val="BlockText"/>
    <w:link w:val="Heading6Char"/>
    <w:rsid w:val="001175F0"/>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1175F0"/>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1175F0"/>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1175F0"/>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1175F0"/>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175F0"/>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1175F0"/>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89285D"/>
    <w:rPr>
      <w:rFonts w:ascii="Tahoma" w:hAnsi="Tahoma" w:cs="Tahoma"/>
      <w:sz w:val="16"/>
      <w:szCs w:val="16"/>
    </w:rPr>
  </w:style>
  <w:style w:type="character" w:customStyle="1" w:styleId="BalloonTextChar">
    <w:name w:val="Balloon Text Char"/>
    <w:basedOn w:val="DefaultParagraphFont"/>
    <w:link w:val="BalloonText"/>
    <w:semiHidden/>
    <w:rsid w:val="0089285D"/>
    <w:rPr>
      <w:rFonts w:ascii="Tahoma" w:eastAsia="Times New Roman" w:hAnsi="Tahoma" w:cs="Tahoma"/>
      <w:color w:val="000000"/>
      <w:sz w:val="16"/>
      <w:szCs w:val="16"/>
    </w:rPr>
  </w:style>
  <w:style w:type="paragraph" w:customStyle="1" w:styleId="BlockLine">
    <w:name w:val="Block Line"/>
    <w:basedOn w:val="Normal"/>
    <w:next w:val="Normal"/>
    <w:rsid w:val="001175F0"/>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1175F0"/>
  </w:style>
  <w:style w:type="paragraph" w:customStyle="1" w:styleId="BulletText1">
    <w:name w:val="Bullet Text 1"/>
    <w:basedOn w:val="Normal"/>
    <w:qFormat/>
    <w:rsid w:val="001175F0"/>
    <w:pPr>
      <w:numPr>
        <w:numId w:val="1"/>
      </w:numPr>
    </w:pPr>
    <w:rPr>
      <w:szCs w:val="20"/>
    </w:rPr>
  </w:style>
  <w:style w:type="paragraph" w:customStyle="1" w:styleId="BulletText2">
    <w:name w:val="Bullet Text 2"/>
    <w:basedOn w:val="Normal"/>
    <w:rsid w:val="001175F0"/>
    <w:pPr>
      <w:numPr>
        <w:numId w:val="2"/>
      </w:numPr>
      <w:ind w:left="346"/>
    </w:pPr>
    <w:rPr>
      <w:szCs w:val="20"/>
    </w:rPr>
  </w:style>
  <w:style w:type="paragraph" w:customStyle="1" w:styleId="BulletText3">
    <w:name w:val="Bullet Text 3"/>
    <w:basedOn w:val="Normal"/>
    <w:rsid w:val="001175F0"/>
    <w:pPr>
      <w:numPr>
        <w:numId w:val="3"/>
      </w:numPr>
      <w:ind w:left="519"/>
    </w:pPr>
    <w:rPr>
      <w:szCs w:val="20"/>
    </w:rPr>
  </w:style>
  <w:style w:type="paragraph" w:customStyle="1" w:styleId="ContinuedBlockLabel">
    <w:name w:val="Continued Block Label"/>
    <w:basedOn w:val="Normal"/>
    <w:next w:val="Normal"/>
    <w:rsid w:val="001175F0"/>
    <w:pPr>
      <w:spacing w:after="240"/>
    </w:pPr>
    <w:rPr>
      <w:b/>
      <w:sz w:val="22"/>
      <w:szCs w:val="20"/>
    </w:rPr>
  </w:style>
  <w:style w:type="paragraph" w:customStyle="1" w:styleId="EmbeddedText">
    <w:name w:val="Embedded Text"/>
    <w:basedOn w:val="Normal"/>
    <w:rsid w:val="0089285D"/>
    <w:rPr>
      <w:szCs w:val="20"/>
    </w:rPr>
  </w:style>
  <w:style w:type="character" w:styleId="HTMLAcronym">
    <w:name w:val="HTML Acronym"/>
    <w:basedOn w:val="DefaultParagraphFont"/>
    <w:rsid w:val="0089285D"/>
  </w:style>
  <w:style w:type="paragraph" w:customStyle="1" w:styleId="IMTOC">
    <w:name w:val="IMTOC"/>
    <w:rsid w:val="0089285D"/>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1175F0"/>
    <w:pPr>
      <w:spacing w:after="240"/>
    </w:pPr>
    <w:rPr>
      <w:rFonts w:ascii="Arial" w:hAnsi="Arial" w:cs="Arial"/>
      <w:b/>
      <w:sz w:val="32"/>
      <w:szCs w:val="20"/>
    </w:rPr>
  </w:style>
  <w:style w:type="paragraph" w:customStyle="1" w:styleId="MemoLine">
    <w:name w:val="Memo Line"/>
    <w:basedOn w:val="BlockLine"/>
    <w:next w:val="Normal"/>
    <w:rsid w:val="001175F0"/>
    <w:pPr>
      <w:ind w:left="0"/>
    </w:pPr>
  </w:style>
  <w:style w:type="paragraph" w:customStyle="1" w:styleId="NoteText">
    <w:name w:val="Note Text"/>
    <w:basedOn w:val="Normal"/>
    <w:rsid w:val="001175F0"/>
    <w:rPr>
      <w:szCs w:val="20"/>
    </w:rPr>
  </w:style>
  <w:style w:type="paragraph" w:customStyle="1" w:styleId="PublicationTitle">
    <w:name w:val="Publication Title"/>
    <w:basedOn w:val="Normal"/>
    <w:next w:val="Heading4"/>
    <w:rsid w:val="001175F0"/>
    <w:pPr>
      <w:spacing w:after="240"/>
      <w:jc w:val="center"/>
    </w:pPr>
    <w:rPr>
      <w:rFonts w:ascii="Arial" w:hAnsi="Arial" w:cs="Arial"/>
      <w:b/>
      <w:sz w:val="32"/>
      <w:szCs w:val="20"/>
    </w:rPr>
  </w:style>
  <w:style w:type="table" w:styleId="TableGrid">
    <w:name w:val="Table Grid"/>
    <w:basedOn w:val="TableNormal"/>
    <w:rsid w:val="0089285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175F0"/>
    <w:pPr>
      <w:jc w:val="center"/>
    </w:pPr>
    <w:rPr>
      <w:b/>
      <w:szCs w:val="20"/>
    </w:rPr>
  </w:style>
  <w:style w:type="paragraph" w:customStyle="1" w:styleId="TableText">
    <w:name w:val="Table Text"/>
    <w:basedOn w:val="Normal"/>
    <w:qFormat/>
    <w:rsid w:val="001175F0"/>
    <w:rPr>
      <w:szCs w:val="20"/>
    </w:rPr>
  </w:style>
  <w:style w:type="paragraph" w:customStyle="1" w:styleId="TOCTitle">
    <w:name w:val="TOC Title"/>
    <w:basedOn w:val="Normal"/>
    <w:rsid w:val="001175F0"/>
    <w:pPr>
      <w:widowControl w:val="0"/>
    </w:pPr>
    <w:rPr>
      <w:rFonts w:ascii="Arial" w:hAnsi="Arial" w:cs="Arial"/>
      <w:b/>
      <w:sz w:val="32"/>
      <w:szCs w:val="20"/>
    </w:rPr>
  </w:style>
  <w:style w:type="paragraph" w:customStyle="1" w:styleId="TOCItem">
    <w:name w:val="TOCItem"/>
    <w:basedOn w:val="Normal"/>
    <w:rsid w:val="0089285D"/>
    <w:pPr>
      <w:tabs>
        <w:tab w:val="left" w:leader="dot" w:pos="7061"/>
        <w:tab w:val="right" w:pos="7524"/>
      </w:tabs>
      <w:spacing w:before="60" w:after="60"/>
      <w:ind w:right="465"/>
    </w:pPr>
    <w:rPr>
      <w:szCs w:val="20"/>
    </w:rPr>
  </w:style>
  <w:style w:type="paragraph" w:customStyle="1" w:styleId="TOCStem">
    <w:name w:val="TOCStem"/>
    <w:basedOn w:val="Normal"/>
    <w:rsid w:val="0089285D"/>
    <w:rPr>
      <w:szCs w:val="20"/>
    </w:rPr>
  </w:style>
  <w:style w:type="paragraph" w:styleId="ListParagraph">
    <w:name w:val="List Paragraph"/>
    <w:basedOn w:val="Normal"/>
    <w:uiPriority w:val="34"/>
    <w:qFormat/>
    <w:rsid w:val="0089285D"/>
    <w:pPr>
      <w:ind w:left="720"/>
      <w:contextualSpacing/>
    </w:pPr>
  </w:style>
  <w:style w:type="character" w:styleId="FollowedHyperlink">
    <w:name w:val="FollowedHyperlink"/>
    <w:rsid w:val="0089285D"/>
    <w:rPr>
      <w:color w:val="800080"/>
      <w:u w:val="single"/>
    </w:rPr>
  </w:style>
  <w:style w:type="paragraph" w:styleId="Footer">
    <w:name w:val="footer"/>
    <w:basedOn w:val="Normal"/>
    <w:link w:val="FooterChar"/>
    <w:rsid w:val="001175F0"/>
    <w:pPr>
      <w:tabs>
        <w:tab w:val="center" w:pos="4680"/>
        <w:tab w:val="right" w:pos="9360"/>
      </w:tabs>
    </w:pPr>
    <w:rPr>
      <w:sz w:val="20"/>
    </w:rPr>
  </w:style>
  <w:style w:type="character" w:customStyle="1" w:styleId="FooterChar">
    <w:name w:val="Footer Char"/>
    <w:link w:val="Footer"/>
    <w:rsid w:val="001175F0"/>
    <w:rPr>
      <w:rFonts w:ascii="Times New Roman" w:eastAsia="Times New Roman" w:hAnsi="Times New Roman" w:cs="Times New Roman"/>
      <w:color w:val="000000"/>
      <w:sz w:val="20"/>
      <w:szCs w:val="24"/>
    </w:rPr>
  </w:style>
  <w:style w:type="paragraph" w:styleId="Header">
    <w:name w:val="header"/>
    <w:basedOn w:val="Normal"/>
    <w:link w:val="HeaderChar"/>
    <w:rsid w:val="001175F0"/>
    <w:pPr>
      <w:tabs>
        <w:tab w:val="center" w:pos="4680"/>
        <w:tab w:val="right" w:pos="9360"/>
      </w:tabs>
    </w:pPr>
    <w:rPr>
      <w:sz w:val="20"/>
    </w:rPr>
  </w:style>
  <w:style w:type="character" w:customStyle="1" w:styleId="HeaderChar">
    <w:name w:val="Header Char"/>
    <w:link w:val="Header"/>
    <w:rsid w:val="001175F0"/>
    <w:rPr>
      <w:rFonts w:ascii="Times New Roman" w:eastAsia="Times New Roman" w:hAnsi="Times New Roman" w:cs="Times New Roman"/>
      <w:color w:val="000000"/>
      <w:sz w:val="20"/>
      <w:szCs w:val="24"/>
    </w:rPr>
  </w:style>
  <w:style w:type="character" w:styleId="Hyperlink">
    <w:name w:val="Hyperlink"/>
    <w:uiPriority w:val="99"/>
    <w:rsid w:val="0089285D"/>
    <w:rPr>
      <w:color w:val="0000FF"/>
      <w:u w:val="single"/>
    </w:rPr>
  </w:style>
  <w:style w:type="paragraph" w:styleId="TOC3">
    <w:name w:val="toc 3"/>
    <w:basedOn w:val="Normal"/>
    <w:next w:val="Normal"/>
    <w:autoRedefine/>
    <w:uiPriority w:val="39"/>
    <w:rsid w:val="0089285D"/>
    <w:pPr>
      <w:ind w:left="480"/>
    </w:pPr>
  </w:style>
  <w:style w:type="paragraph" w:styleId="TOC4">
    <w:name w:val="toc 4"/>
    <w:basedOn w:val="Normal"/>
    <w:next w:val="Normal"/>
    <w:autoRedefine/>
    <w:uiPriority w:val="39"/>
    <w:rsid w:val="0089285D"/>
    <w:pPr>
      <w:ind w:left="720"/>
    </w:pPr>
  </w:style>
  <w:style w:type="paragraph" w:customStyle="1" w:styleId="NumberedList1">
    <w:name w:val="Numbered List 1"/>
    <w:basedOn w:val="BulletText1"/>
    <w:qFormat/>
    <w:rsid w:val="001175F0"/>
    <w:pPr>
      <w:numPr>
        <w:numId w:val="9"/>
      </w:numPr>
      <w:tabs>
        <w:tab w:val="left" w:pos="173"/>
      </w:tabs>
      <w:ind w:left="360"/>
    </w:pPr>
    <w:rPr>
      <w:noProof/>
    </w:rPr>
  </w:style>
  <w:style w:type="paragraph" w:customStyle="1" w:styleId="NumberedList2">
    <w:name w:val="Numbered List 2"/>
    <w:basedOn w:val="NumberedList1"/>
    <w:qFormat/>
    <w:rsid w:val="001175F0"/>
    <w:pPr>
      <w:numPr>
        <w:numId w:val="8"/>
      </w:numPr>
      <w:tabs>
        <w:tab w:val="clear" w:pos="173"/>
        <w:tab w:val="left" w:pos="346"/>
      </w:tabs>
      <w:ind w:left="720"/>
    </w:pPr>
  </w:style>
  <w:style w:type="paragraph" w:customStyle="1" w:styleId="NumberedList3">
    <w:name w:val="Numbered List 3"/>
    <w:basedOn w:val="NumberedList2"/>
    <w:qFormat/>
    <w:rsid w:val="001175F0"/>
    <w:pPr>
      <w:numPr>
        <w:numId w:val="10"/>
      </w:numPr>
      <w:tabs>
        <w:tab w:val="clear" w:pos="346"/>
        <w:tab w:val="left" w:pos="518"/>
      </w:tabs>
    </w:pPr>
  </w:style>
  <w:style w:type="paragraph" w:customStyle="1" w:styleId="ContinuedTableLabel">
    <w:name w:val="Continued Table Label"/>
    <w:basedOn w:val="Normal"/>
    <w:next w:val="Normal"/>
    <w:rsid w:val="001175F0"/>
    <w:pPr>
      <w:spacing w:after="240"/>
    </w:pPr>
    <w:rPr>
      <w:b/>
      <w:sz w:val="22"/>
      <w:szCs w:val="20"/>
    </w:rPr>
  </w:style>
  <w:style w:type="numbering" w:customStyle="1" w:styleId="FSProStyle7">
    <w:name w:val="FSProStyle7"/>
    <w:uiPriority w:val="99"/>
    <w:rsid w:val="0089285D"/>
    <w:pPr>
      <w:numPr>
        <w:numId w:val="11"/>
      </w:numPr>
    </w:pPr>
  </w:style>
  <w:style w:type="paragraph" w:styleId="TOC1">
    <w:name w:val="toc 1"/>
    <w:basedOn w:val="Normal"/>
    <w:next w:val="Normal"/>
    <w:autoRedefine/>
    <w:uiPriority w:val="39"/>
    <w:semiHidden/>
    <w:unhideWhenUsed/>
    <w:rsid w:val="0089285D"/>
    <w:pPr>
      <w:spacing w:after="100"/>
    </w:pPr>
  </w:style>
  <w:style w:type="paragraph" w:styleId="TOC2">
    <w:name w:val="toc 2"/>
    <w:basedOn w:val="Normal"/>
    <w:next w:val="Normal"/>
    <w:autoRedefine/>
    <w:uiPriority w:val="39"/>
    <w:semiHidden/>
    <w:unhideWhenUsed/>
    <w:rsid w:val="0089285D"/>
    <w:pPr>
      <w:spacing w:after="100"/>
      <w:ind w:left="240"/>
    </w:pPr>
  </w:style>
  <w:style w:type="paragraph" w:styleId="TOC5">
    <w:name w:val="toc 5"/>
    <w:basedOn w:val="Normal"/>
    <w:next w:val="Normal"/>
    <w:autoRedefine/>
    <w:uiPriority w:val="39"/>
    <w:semiHidden/>
    <w:unhideWhenUsed/>
    <w:rsid w:val="0089285D"/>
    <w:pPr>
      <w:spacing w:after="100"/>
      <w:ind w:left="960"/>
    </w:pPr>
  </w:style>
  <w:style w:type="paragraph" w:styleId="TOC6">
    <w:name w:val="toc 6"/>
    <w:basedOn w:val="Normal"/>
    <w:next w:val="Normal"/>
    <w:autoRedefine/>
    <w:uiPriority w:val="39"/>
    <w:semiHidden/>
    <w:unhideWhenUsed/>
    <w:rsid w:val="0089285D"/>
    <w:pPr>
      <w:spacing w:after="100"/>
      <w:ind w:left="1200"/>
    </w:pPr>
  </w:style>
  <w:style w:type="paragraph" w:styleId="TOC7">
    <w:name w:val="toc 7"/>
    <w:basedOn w:val="Normal"/>
    <w:next w:val="Normal"/>
    <w:autoRedefine/>
    <w:uiPriority w:val="39"/>
    <w:semiHidden/>
    <w:unhideWhenUsed/>
    <w:rsid w:val="0089285D"/>
    <w:pPr>
      <w:spacing w:after="100"/>
      <w:ind w:left="1440"/>
    </w:pPr>
  </w:style>
  <w:style w:type="paragraph" w:styleId="TOC8">
    <w:name w:val="toc 8"/>
    <w:basedOn w:val="Normal"/>
    <w:next w:val="Normal"/>
    <w:autoRedefine/>
    <w:uiPriority w:val="39"/>
    <w:semiHidden/>
    <w:unhideWhenUsed/>
    <w:rsid w:val="0089285D"/>
    <w:pPr>
      <w:spacing w:after="100"/>
      <w:ind w:left="1680"/>
    </w:pPr>
  </w:style>
  <w:style w:type="paragraph" w:styleId="TOC9">
    <w:name w:val="toc 9"/>
    <w:basedOn w:val="Normal"/>
    <w:next w:val="Normal"/>
    <w:autoRedefine/>
    <w:uiPriority w:val="39"/>
    <w:semiHidden/>
    <w:unhideWhenUsed/>
    <w:rsid w:val="0089285D"/>
    <w:pPr>
      <w:spacing w:after="100"/>
      <w:ind w:left="1920"/>
    </w:pPr>
  </w:style>
  <w:style w:type="character" w:styleId="CommentReference">
    <w:name w:val="annotation reference"/>
    <w:basedOn w:val="DefaultParagraphFont"/>
    <w:uiPriority w:val="99"/>
    <w:semiHidden/>
    <w:unhideWhenUsed/>
    <w:rsid w:val="008551E3"/>
    <w:rPr>
      <w:sz w:val="16"/>
      <w:szCs w:val="16"/>
    </w:rPr>
  </w:style>
  <w:style w:type="paragraph" w:styleId="CommentText">
    <w:name w:val="annotation text"/>
    <w:basedOn w:val="Normal"/>
    <w:link w:val="CommentTextChar"/>
    <w:uiPriority w:val="99"/>
    <w:semiHidden/>
    <w:unhideWhenUsed/>
    <w:rsid w:val="008551E3"/>
    <w:rPr>
      <w:sz w:val="20"/>
      <w:szCs w:val="20"/>
    </w:rPr>
  </w:style>
  <w:style w:type="character" w:customStyle="1" w:styleId="CommentTextChar">
    <w:name w:val="Comment Text Char"/>
    <w:basedOn w:val="DefaultParagraphFont"/>
    <w:link w:val="CommentText"/>
    <w:uiPriority w:val="99"/>
    <w:semiHidden/>
    <w:rsid w:val="008551E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551E3"/>
    <w:rPr>
      <w:b/>
      <w:bCs/>
    </w:rPr>
  </w:style>
  <w:style w:type="character" w:customStyle="1" w:styleId="CommentSubjectChar">
    <w:name w:val="Comment Subject Char"/>
    <w:basedOn w:val="CommentTextChar"/>
    <w:link w:val="CommentSubject"/>
    <w:uiPriority w:val="99"/>
    <w:semiHidden/>
    <w:rsid w:val="008551E3"/>
    <w:rPr>
      <w:rFonts w:ascii="Times New Roman" w:eastAsia="Times New Roman" w:hAnsi="Times New Roman" w:cs="Times New Roman"/>
      <w:b/>
      <w:bCs/>
      <w:color w:val="000000"/>
      <w:sz w:val="20"/>
      <w:szCs w:val="20"/>
    </w:rPr>
  </w:style>
  <w:style w:type="paragraph" w:styleId="TableofFigures">
    <w:name w:val="table of figures"/>
    <w:basedOn w:val="Normal"/>
    <w:next w:val="Normal"/>
    <w:uiPriority w:val="99"/>
    <w:semiHidden/>
    <w:unhideWhenUsed/>
    <w:rsid w:val="00017DB3"/>
  </w:style>
  <w:style w:type="character" w:customStyle="1" w:styleId="BlockTextChar">
    <w:name w:val="Block Text Char"/>
    <w:basedOn w:val="DefaultParagraphFont"/>
    <w:link w:val="BlockText"/>
    <w:rsid w:val="001175F0"/>
    <w:rPr>
      <w:rFonts w:ascii="Times New Roman" w:eastAsia="Times New Roman" w:hAnsi="Times New Roman" w:cs="Times New Roman"/>
      <w:color w:val="000000"/>
      <w:sz w:val="24"/>
      <w:szCs w:val="24"/>
    </w:rPr>
  </w:style>
  <w:style w:type="paragraph" w:styleId="Revision">
    <w:name w:val="Revision"/>
    <w:hidden/>
    <w:uiPriority w:val="99"/>
    <w:semiHidden/>
    <w:rsid w:val="005E427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WARMS/pam26_7.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benefits.va.gov/WARMS/pam26_7.asp" TargetMode="External"/><Relationship Id="rId17" Type="http://schemas.openxmlformats.org/officeDocument/2006/relationships/hyperlink" Target="http://www.vba.va.gov/pubs/forms/VBA-26-1820-ARE.pdf" TargetMode="External"/><Relationship Id="rId2" Type="http://schemas.openxmlformats.org/officeDocument/2006/relationships/customXml" Target="../customXml/item2.xml"/><Relationship Id="rId16" Type="http://schemas.openxmlformats.org/officeDocument/2006/relationships/hyperlink" Target="http://www.benefits.va.gov/WARMS/pam26_7.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cfr.gov/cgi-bin/text-idx?SID=d48fd08e7162cdcd05476f631ad0d240&amp;mc=true&amp;node=sp38.2.36.b&amp;rgn=div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p.vba.va.gov/portal/VBAH/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76C0E34A97245A64A19B5B7BC3C0E" ma:contentTypeVersion="0" ma:contentTypeDescription="Create a new document." ma:contentTypeScope="" ma:versionID="bac80a698d79bfb513d9c5fb35a0c1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AD58-E250-4131-AFE5-8AF6950D1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072A02-F1EC-48F8-9480-B30540CB2845}">
  <ds:schemaRefs>
    <ds:schemaRef ds:uri="http://schemas.microsoft.com/sharepoint/v3/contenttype/forms"/>
  </ds:schemaRefs>
</ds:datastoreItem>
</file>

<file path=customXml/itemProps3.xml><?xml version="1.0" encoding="utf-8"?>
<ds:datastoreItem xmlns:ds="http://schemas.openxmlformats.org/officeDocument/2006/customXml" ds:itemID="{2D64DFA3-2BBD-4AD6-BEC4-3CF5DB923122}">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77A17ADE-8BAD-49F0-B763-80379865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2286</Words>
  <Characters>13654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Gudvangen, Wade L., VBAVACO</dc:creator>
  <cp:lastModifiedBy>Department of Veterans Affairs</cp:lastModifiedBy>
  <cp:revision>3</cp:revision>
  <cp:lastPrinted>2015-07-01T17:44:00Z</cp:lastPrinted>
  <dcterms:created xsi:type="dcterms:W3CDTF">2016-01-22T12:56:00Z</dcterms:created>
  <dcterms:modified xsi:type="dcterms:W3CDTF">2016-01-22T16:06:00Z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y fmtid="{D5CDD505-2E9C-101B-9397-08002B2CF9AE}" pid="4" name="ContentTypeId">
    <vt:lpwstr>0x010100D7876C0E34A97245A64A19B5B7BC3C0E</vt:lpwstr>
  </property>
</Properties>
</file>